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87CC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E54B4" wp14:editId="4DF45AFA">
            <wp:simplePos x="0" y="0"/>
            <wp:positionH relativeFrom="column">
              <wp:posOffset>1433195</wp:posOffset>
            </wp:positionH>
            <wp:positionV relativeFrom="paragraph">
              <wp:posOffset>-317500</wp:posOffset>
            </wp:positionV>
            <wp:extent cx="2771775" cy="1298575"/>
            <wp:effectExtent l="0" t="0" r="9525" b="0"/>
            <wp:wrapTight wrapText="bothSides">
              <wp:wrapPolygon edited="0">
                <wp:start x="0" y="0"/>
                <wp:lineTo x="0" y="21230"/>
                <wp:lineTo x="21526" y="21230"/>
                <wp:lineTo x="21526" y="0"/>
                <wp:lineTo x="0" y="0"/>
              </wp:wrapPolygon>
            </wp:wrapTight>
            <wp:docPr id="1" name="Picture 1" descr="VLG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GM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</w:rPr>
        <w:tab/>
      </w:r>
    </w:p>
    <w:p w14:paraId="059C58AE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5A02CE32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38AD3CD7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6903D46D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52F94F02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4158F1C5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0C3FD794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083E0769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62C67BA0" w14:textId="77777777" w:rsidR="000A5C7D" w:rsidRDefault="000A5C7D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4EAEF4ED" w14:textId="5AED75A1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TO: </w:t>
      </w:r>
      <w:r>
        <w:rPr>
          <w:rFonts w:ascii="Times New Roman" w:hAnsi="Times New Roman"/>
          <w:sz w:val="20"/>
        </w:rPr>
        <w:tab/>
        <w:t xml:space="preserve">              </w:t>
      </w:r>
      <w:r>
        <w:rPr>
          <w:rFonts w:ascii="Times New Roman" w:hAnsi="Times New Roman"/>
          <w:b/>
          <w:sz w:val="20"/>
        </w:rPr>
        <w:t>Friends and Sponsors of VLGMA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FE0748">
        <w:rPr>
          <w:rFonts w:ascii="Times New Roman" w:hAnsi="Times New Roman"/>
          <w:sz w:val="20"/>
        </w:rPr>
        <w:t>October 201</w:t>
      </w:r>
      <w:r w:rsidR="000A5C7D">
        <w:rPr>
          <w:rFonts w:ascii="Times New Roman" w:hAnsi="Times New Roman"/>
          <w:sz w:val="20"/>
        </w:rPr>
        <w:t>9</w:t>
      </w:r>
    </w:p>
    <w:p w14:paraId="28F70144" w14:textId="77777777" w:rsidR="00D31533" w:rsidRDefault="00D31533" w:rsidP="00D31533">
      <w:pPr>
        <w:tabs>
          <w:tab w:val="left" w:pos="720"/>
          <w:tab w:val="left" w:pos="7380"/>
        </w:tabs>
        <w:jc w:val="both"/>
        <w:rPr>
          <w:rFonts w:ascii="Times New Roman" w:hAnsi="Times New Roman"/>
          <w:sz w:val="20"/>
        </w:rPr>
      </w:pPr>
    </w:p>
    <w:p w14:paraId="26F84706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FROM: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Molly Harlow, Conference Coordinator</w:t>
      </w:r>
    </w:p>
    <w:p w14:paraId="1DC9894C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Weldon Cooper Center for Public Service, University of Virginia</w:t>
      </w:r>
    </w:p>
    <w:p w14:paraId="57A4F376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E1CE150" w14:textId="735D9EB5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E0748">
        <w:rPr>
          <w:rFonts w:ascii="Times New Roman" w:hAnsi="Times New Roman"/>
          <w:b/>
          <w:sz w:val="20"/>
        </w:rPr>
        <w:t>VLGMA 20</w:t>
      </w:r>
      <w:r w:rsidR="000A5C7D"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z w:val="20"/>
        </w:rPr>
        <w:t xml:space="preserve"> Sponsorship Opportunities</w:t>
      </w:r>
    </w:p>
    <w:p w14:paraId="64FCA608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B7A775E" w14:textId="0B943D03" w:rsidR="00D31533" w:rsidRDefault="00D31533" w:rsidP="00D31533">
      <w:pPr>
        <w:pStyle w:val="BodyText"/>
        <w:jc w:val="both"/>
        <w:rPr>
          <w:rFonts w:ascii="Times New Roman" w:hAnsi="Times New Roman"/>
          <w:sz w:val="20"/>
        </w:rPr>
      </w:pPr>
      <w:r w:rsidRPr="00D31533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Virginia Local Government Management</w:t>
      </w:r>
      <w:r w:rsidRPr="00D31533">
        <w:rPr>
          <w:rFonts w:ascii="Times New Roman" w:hAnsi="Times New Roman"/>
          <w:sz w:val="20"/>
        </w:rPr>
        <w:t xml:space="preserve"> Association greatly appreciates your support and participation in our association meetings and activities. Your involvement strengthens our program</w:t>
      </w:r>
      <w:r>
        <w:rPr>
          <w:rFonts w:ascii="Times New Roman" w:hAnsi="Times New Roman"/>
          <w:sz w:val="20"/>
        </w:rPr>
        <w:t>s</w:t>
      </w:r>
      <w:r w:rsidRPr="00D31533">
        <w:rPr>
          <w:rFonts w:ascii="Times New Roman" w:hAnsi="Times New Roman"/>
          <w:sz w:val="20"/>
        </w:rPr>
        <w:t xml:space="preserve"> and networking opportunities and introduces our members to innovative products and services. We invite and welcome your participation once again for the 201</w:t>
      </w:r>
      <w:r w:rsidR="00956AB3">
        <w:rPr>
          <w:rFonts w:ascii="Times New Roman" w:hAnsi="Times New Roman"/>
          <w:sz w:val="20"/>
        </w:rPr>
        <w:t>9</w:t>
      </w:r>
      <w:r w:rsidR="00661817">
        <w:rPr>
          <w:rFonts w:ascii="Times New Roman" w:hAnsi="Times New Roman"/>
          <w:sz w:val="20"/>
        </w:rPr>
        <w:t xml:space="preserve"> </w:t>
      </w:r>
      <w:r w:rsidR="00621F35">
        <w:rPr>
          <w:rFonts w:ascii="Times New Roman" w:hAnsi="Times New Roman"/>
          <w:sz w:val="20"/>
        </w:rPr>
        <w:t xml:space="preserve">Winter </w:t>
      </w:r>
      <w:r>
        <w:rPr>
          <w:rFonts w:ascii="Times New Roman" w:hAnsi="Times New Roman"/>
          <w:sz w:val="20"/>
        </w:rPr>
        <w:t>and Summer Conferences</w:t>
      </w:r>
      <w:r w:rsidRPr="00D3153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 VLGMA is a 501(c)(6) trade association of Virginia's local government professionals - city, county, and town managers as well as deputy, assistant managers and other local government employees.</w:t>
      </w:r>
    </w:p>
    <w:p w14:paraId="344231A8" w14:textId="77777777" w:rsidR="00D31533" w:rsidRDefault="00D31533" w:rsidP="00D31533">
      <w:pPr>
        <w:pStyle w:val="BodyText"/>
        <w:jc w:val="both"/>
        <w:rPr>
          <w:rFonts w:ascii="Times New Roman" w:hAnsi="Times New Roman"/>
          <w:sz w:val="20"/>
        </w:rPr>
      </w:pPr>
    </w:p>
    <w:p w14:paraId="6A77D212" w14:textId="77777777" w:rsidR="00D31533" w:rsidRDefault="00576172" w:rsidP="00D31533">
      <w:pPr>
        <w:pStyle w:val="Body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 year, we are continuing with</w:t>
      </w:r>
      <w:r w:rsidR="00D31533">
        <w:rPr>
          <w:rFonts w:ascii="Times New Roman" w:hAnsi="Times New Roman"/>
          <w:sz w:val="20"/>
        </w:rPr>
        <w:t xml:space="preserve"> more well-defined sponsorship opportunities that will cover the entire year and both conferences.  Opportunities to expose your organization’s services to our membership will be available at a variety of levels of support.  Please see the attached Conference Sponsorship Opportunities form for more details.  </w:t>
      </w:r>
      <w:r w:rsidR="00D31533" w:rsidRPr="00D31533">
        <w:rPr>
          <w:rFonts w:ascii="Times New Roman" w:hAnsi="Times New Roman"/>
          <w:i/>
          <w:sz w:val="20"/>
        </w:rPr>
        <w:t xml:space="preserve">Take note that some levels provide exclusivity and will be offered on a first-come, first-choice basis.  </w:t>
      </w:r>
    </w:p>
    <w:p w14:paraId="11C2E6CA" w14:textId="77777777" w:rsidR="00D31533" w:rsidRDefault="00D31533" w:rsidP="00D31533">
      <w:pPr>
        <w:pStyle w:val="Body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14:paraId="7D1C9C96" w14:textId="77777777" w:rsidR="00D31533" w:rsidRPr="00D31533" w:rsidRDefault="00D31533" w:rsidP="00D31533">
      <w:pPr>
        <w:jc w:val="both"/>
        <w:rPr>
          <w:rFonts w:ascii="Times New Roman" w:hAnsi="Times New Roman"/>
          <w:sz w:val="20"/>
          <w:u w:val="single"/>
        </w:rPr>
      </w:pPr>
      <w:r w:rsidRPr="00D31533">
        <w:rPr>
          <w:rFonts w:ascii="Times New Roman" w:hAnsi="Times New Roman"/>
          <w:sz w:val="20"/>
          <w:u w:val="single"/>
        </w:rPr>
        <w:t>CONFERENCE DETAILS</w:t>
      </w:r>
    </w:p>
    <w:p w14:paraId="4DB01217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</w:p>
    <w:p w14:paraId="76B2CFE6" w14:textId="77777777" w:rsidR="00D31533" w:rsidRDefault="00D31533" w:rsidP="00D31533">
      <w:pPr>
        <w:jc w:val="both"/>
        <w:rPr>
          <w:rFonts w:ascii="Times New Roman" w:hAnsi="Times New Roman"/>
          <w:sz w:val="20"/>
        </w:rPr>
        <w:sectPr w:rsidR="00D315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E98B3" w14:textId="77777777" w:rsidR="00D31533" w:rsidRPr="00D31533" w:rsidRDefault="00D31533" w:rsidP="00D31533">
      <w:pPr>
        <w:jc w:val="both"/>
        <w:rPr>
          <w:rFonts w:ascii="Times New Roman" w:hAnsi="Times New Roman"/>
          <w:b/>
          <w:sz w:val="20"/>
        </w:rPr>
      </w:pPr>
      <w:r w:rsidRPr="00D31533">
        <w:rPr>
          <w:rFonts w:ascii="Times New Roman" w:hAnsi="Times New Roman"/>
          <w:b/>
          <w:sz w:val="20"/>
        </w:rPr>
        <w:t>Winter Conference</w:t>
      </w:r>
    </w:p>
    <w:p w14:paraId="2A94E578" w14:textId="1469058C" w:rsidR="00D31533" w:rsidRDefault="00661817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February </w:t>
      </w:r>
      <w:r w:rsidR="000A5C7D">
        <w:rPr>
          <w:rFonts w:ascii="Times New Roman" w:hAnsi="Times New Roman"/>
          <w:sz w:val="20"/>
        </w:rPr>
        <w:t>12-14</w:t>
      </w:r>
    </w:p>
    <w:p w14:paraId="2D33E94A" w14:textId="656B51B2" w:rsidR="00D31533" w:rsidRDefault="000A5C7D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Charlottesville Omni</w:t>
      </w:r>
      <w:r w:rsidR="00D31533">
        <w:rPr>
          <w:rFonts w:ascii="Times New Roman" w:hAnsi="Times New Roman"/>
          <w:sz w:val="20"/>
        </w:rPr>
        <w:t xml:space="preserve"> Hotel</w:t>
      </w:r>
    </w:p>
    <w:p w14:paraId="3B89744E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</w:p>
    <w:p w14:paraId="233FA58F" w14:textId="77777777" w:rsidR="00D31533" w:rsidRPr="00D31533" w:rsidRDefault="00D31533" w:rsidP="00D31533">
      <w:pPr>
        <w:jc w:val="both"/>
        <w:rPr>
          <w:rFonts w:ascii="Times New Roman" w:hAnsi="Times New Roman"/>
          <w:b/>
          <w:sz w:val="20"/>
        </w:rPr>
      </w:pPr>
      <w:r w:rsidRPr="00D31533">
        <w:rPr>
          <w:rFonts w:ascii="Times New Roman" w:hAnsi="Times New Roman"/>
          <w:b/>
          <w:sz w:val="20"/>
        </w:rPr>
        <w:t>Summer Conference</w:t>
      </w:r>
    </w:p>
    <w:p w14:paraId="5BBF34E4" w14:textId="3E8DB02B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June </w:t>
      </w:r>
      <w:r w:rsidR="00956AB3">
        <w:rPr>
          <w:rFonts w:ascii="Times New Roman" w:hAnsi="Times New Roman"/>
          <w:sz w:val="20"/>
        </w:rPr>
        <w:t>1</w:t>
      </w:r>
      <w:r w:rsidR="000A5C7D">
        <w:rPr>
          <w:rFonts w:ascii="Times New Roman" w:hAnsi="Times New Roman"/>
          <w:sz w:val="20"/>
        </w:rPr>
        <w:t>0-12</w:t>
      </w:r>
    </w:p>
    <w:p w14:paraId="515CF5C7" w14:textId="787FD3CE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Virginia Beach </w:t>
      </w:r>
      <w:r w:rsidR="000A5C7D">
        <w:rPr>
          <w:rFonts w:ascii="Times New Roman" w:hAnsi="Times New Roman"/>
          <w:sz w:val="20"/>
        </w:rPr>
        <w:t>Hilton</w:t>
      </w:r>
      <w:r>
        <w:rPr>
          <w:rFonts w:ascii="Times New Roman" w:hAnsi="Times New Roman"/>
          <w:sz w:val="20"/>
        </w:rPr>
        <w:t xml:space="preserve"> Oceanfront</w:t>
      </w:r>
    </w:p>
    <w:p w14:paraId="764DC328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</w:p>
    <w:p w14:paraId="2044DD01" w14:textId="77777777" w:rsidR="00D31533" w:rsidRDefault="00D31533" w:rsidP="00D31533">
      <w:pPr>
        <w:jc w:val="both"/>
        <w:rPr>
          <w:rFonts w:ascii="Times New Roman" w:hAnsi="Times New Roman"/>
          <w:sz w:val="20"/>
        </w:rPr>
        <w:sectPr w:rsidR="00D31533" w:rsidSect="00D315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DF326D" w14:textId="77777777" w:rsidR="00D31533" w:rsidRPr="00D31533" w:rsidRDefault="00D31533" w:rsidP="00D31533">
      <w:pPr>
        <w:jc w:val="both"/>
        <w:rPr>
          <w:rFonts w:ascii="Times New Roman" w:hAnsi="Times New Roman"/>
          <w:sz w:val="20"/>
        </w:rPr>
      </w:pPr>
      <w:r w:rsidRPr="00D31533">
        <w:rPr>
          <w:rFonts w:ascii="Times New Roman" w:hAnsi="Times New Roman"/>
          <w:sz w:val="20"/>
        </w:rPr>
        <w:t>Complete seminar materials, including the agenda and hotel registration information, can be obtained as they become available</w:t>
      </w:r>
      <w:r>
        <w:rPr>
          <w:rFonts w:ascii="Times New Roman" w:hAnsi="Times New Roman"/>
          <w:sz w:val="20"/>
        </w:rPr>
        <w:t xml:space="preserve"> by going to </w:t>
      </w:r>
      <w:hyperlink r:id="rId5" w:history="1">
        <w:r w:rsidRPr="006566DE">
          <w:rPr>
            <w:rStyle w:val="Hyperlink"/>
            <w:rFonts w:ascii="Times New Roman" w:hAnsi="Times New Roman"/>
            <w:sz w:val="20"/>
          </w:rPr>
          <w:t>http://icma.org/en/va/home</w:t>
        </w:r>
      </w:hyperlink>
      <w:r>
        <w:rPr>
          <w:rFonts w:ascii="Times New Roman" w:hAnsi="Times New Roman"/>
          <w:sz w:val="20"/>
        </w:rPr>
        <w:t>.  We will provide all sponsors with information on making room reservations at the special conference rate as soon as it is available.</w:t>
      </w:r>
      <w:r w:rsidRPr="00D31533">
        <w:rPr>
          <w:rFonts w:ascii="Times New Roman" w:hAnsi="Times New Roman"/>
          <w:sz w:val="20"/>
        </w:rPr>
        <w:t xml:space="preserve"> </w:t>
      </w:r>
    </w:p>
    <w:p w14:paraId="699E48E0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785EABF0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interested, please return the enclosed conference registration form.  We also need the enclosed Sponsor Ethics form signed and returned with your sponsorship contribution.  As conference coordinator, I will be happy to work with you on an individual basis to accommodate your specific needs.</w:t>
      </w:r>
    </w:p>
    <w:p w14:paraId="62F70BF9" w14:textId="77777777" w:rsidR="00D31533" w:rsidRDefault="00D31533" w:rsidP="00D31533">
      <w:pPr>
        <w:jc w:val="both"/>
        <w:rPr>
          <w:rFonts w:ascii="Times New Roman" w:hAnsi="Times New Roman"/>
          <w:sz w:val="20"/>
          <w:u w:val="single"/>
        </w:rPr>
      </w:pPr>
    </w:p>
    <w:p w14:paraId="3A933DFA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Contributions can be made via credit card </w:t>
      </w:r>
      <w:r w:rsidR="00576172">
        <w:rPr>
          <w:rFonts w:ascii="Times New Roman" w:hAnsi="Times New Roman"/>
          <w:sz w:val="20"/>
        </w:rPr>
        <w:t>(invoice will be emailed to you once Sponsorship Agreement is received)</w:t>
      </w:r>
      <w:r>
        <w:rPr>
          <w:rFonts w:ascii="Times New Roman" w:hAnsi="Times New Roman"/>
          <w:sz w:val="20"/>
        </w:rPr>
        <w:t xml:space="preserve"> or by check made payable to </w:t>
      </w:r>
      <w:r>
        <w:rPr>
          <w:rFonts w:ascii="Times New Roman" w:hAnsi="Times New Roman"/>
          <w:b/>
          <w:sz w:val="20"/>
        </w:rPr>
        <w:t>"The University of Virginia"</w:t>
      </w:r>
      <w:r>
        <w:rPr>
          <w:rFonts w:ascii="Times New Roman" w:hAnsi="Times New Roman"/>
          <w:sz w:val="20"/>
        </w:rPr>
        <w:t xml:space="preserve"> and sent directly to: </w:t>
      </w:r>
    </w:p>
    <w:p w14:paraId="3DBD7696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</w:p>
    <w:p w14:paraId="287B3F5F" w14:textId="77777777" w:rsidR="00D31533" w:rsidRDefault="00D31533" w:rsidP="00D3153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Ms. Molly Harlow, Conference Coordinator</w:t>
      </w:r>
    </w:p>
    <w:p w14:paraId="1B3AE20D" w14:textId="77777777" w:rsidR="00D31533" w:rsidRDefault="00D31533" w:rsidP="00D3153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Weldon Cooper Center for Public Service, University of Virginia</w:t>
      </w:r>
    </w:p>
    <w:p w14:paraId="3CFECB97" w14:textId="77777777" w:rsidR="00D31533" w:rsidRDefault="00D31533" w:rsidP="00D31533">
      <w:pPr>
        <w:pStyle w:val="Heading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P.O. Box 400206</w:t>
      </w:r>
    </w:p>
    <w:p w14:paraId="15D5228B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Charlottesville, VA  22904-4206</w:t>
      </w:r>
    </w:p>
    <w:p w14:paraId="2C9AFB4D" w14:textId="77777777" w:rsidR="00D31533" w:rsidRDefault="00D31533" w:rsidP="00D31533">
      <w:pPr>
        <w:jc w:val="both"/>
        <w:rPr>
          <w:rFonts w:ascii="Times New Roman" w:hAnsi="Times New Roman"/>
          <w:sz w:val="20"/>
        </w:rPr>
      </w:pPr>
    </w:p>
    <w:p w14:paraId="50A7736B" w14:textId="2BE90D73" w:rsidR="00D31533" w:rsidRDefault="00D31533" w:rsidP="00D3153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Please call me if you have any questions or if you need assistance with arrangements. My phone number is </w:t>
      </w:r>
      <w:r w:rsidR="00661817">
        <w:rPr>
          <w:rFonts w:ascii="Times New Roman" w:hAnsi="Times New Roman"/>
          <w:b/>
          <w:sz w:val="20"/>
        </w:rPr>
        <w:t>434/987-0331</w:t>
      </w:r>
      <w:r>
        <w:rPr>
          <w:rFonts w:ascii="Times New Roman" w:hAnsi="Times New Roman"/>
          <w:sz w:val="20"/>
        </w:rPr>
        <w:t xml:space="preserve">; email is </w:t>
      </w:r>
      <w:r>
        <w:rPr>
          <w:rFonts w:ascii="Times New Roman" w:hAnsi="Times New Roman"/>
          <w:b/>
          <w:sz w:val="20"/>
        </w:rPr>
        <w:t>mjh3a@virginia.edu</w:t>
      </w:r>
      <w:r>
        <w:rPr>
          <w:rFonts w:ascii="Times New Roman" w:hAnsi="Times New Roman"/>
          <w:sz w:val="20"/>
        </w:rPr>
        <w:t xml:space="preserve">.  </w:t>
      </w:r>
    </w:p>
    <w:p w14:paraId="43039D6C" w14:textId="77777777" w:rsidR="00D31533" w:rsidRDefault="00D31533" w:rsidP="00D31533">
      <w:pPr>
        <w:pStyle w:val="BodyText2"/>
        <w:jc w:val="both"/>
        <w:rPr>
          <w:rFonts w:ascii="Times New Roman" w:hAnsi="Times New Roman"/>
        </w:rPr>
      </w:pPr>
    </w:p>
    <w:p w14:paraId="7CBB11FF" w14:textId="77777777" w:rsidR="009300E9" w:rsidRPr="00D31533" w:rsidRDefault="00D31533" w:rsidP="00D31533">
      <w:pPr>
        <w:pStyle w:val="BodyText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Thank you for considering this important contribution to the professional development of Virginia’s local government managers.  I look forward to hearing from you.</w:t>
      </w:r>
    </w:p>
    <w:sectPr w:rsidR="009300E9" w:rsidRPr="00D31533" w:rsidSect="00D315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33"/>
    <w:rsid w:val="000A5C7D"/>
    <w:rsid w:val="0019616B"/>
    <w:rsid w:val="00576172"/>
    <w:rsid w:val="00621F35"/>
    <w:rsid w:val="00661817"/>
    <w:rsid w:val="00956AB3"/>
    <w:rsid w:val="00C6653B"/>
    <w:rsid w:val="00D31533"/>
    <w:rsid w:val="00D36662"/>
    <w:rsid w:val="00F73C72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947BB"/>
  <w15:docId w15:val="{78F8BACE-6510-3944-92E0-F30E9A85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33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31533"/>
    <w:pPr>
      <w:keepNext/>
      <w:outlineLvl w:val="0"/>
    </w:pPr>
    <w:rPr>
      <w:rFonts w:ascii="Palatino" w:hAnsi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533"/>
    <w:rPr>
      <w:rFonts w:ascii="Palatino" w:eastAsia="Times New Roman" w:hAnsi="Palatino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31533"/>
    <w:rPr>
      <w:rFonts w:ascii="Palatino" w:hAnsi="Palatino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31533"/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D31533"/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D31533"/>
    <w:rPr>
      <w:rFonts w:ascii="Geneva" w:eastAsia="Times New Roman" w:hAnsi="Genev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ma.org/en/va/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Larking, Ken</dc:creator>
  <cp:lastModifiedBy>Harlow, Molly H (mjh3a)</cp:lastModifiedBy>
  <cp:revision>2</cp:revision>
  <cp:lastPrinted>2016-10-04T19:56:00Z</cp:lastPrinted>
  <dcterms:created xsi:type="dcterms:W3CDTF">2019-10-16T17:06:00Z</dcterms:created>
  <dcterms:modified xsi:type="dcterms:W3CDTF">2019-10-16T17:06:00Z</dcterms:modified>
</cp:coreProperties>
</file>