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12" w:rsidRPr="007E1112" w:rsidRDefault="007E1112" w:rsidP="008E7580">
      <w:pPr>
        <w:spacing w:before="240" w:after="0"/>
        <w:jc w:val="center"/>
        <w:rPr>
          <w:rFonts w:ascii="Times New Roman" w:hAnsi="Times New Roman" w:cs="Times New Roman"/>
          <w:b/>
          <w:smallCaps/>
        </w:rPr>
      </w:pPr>
      <w:bookmarkStart w:id="0" w:name="_GoBack"/>
      <w:bookmarkEnd w:id="0"/>
      <w:r w:rsidRPr="007E1112">
        <w:rPr>
          <w:rFonts w:ascii="Times New Roman" w:hAnsi="Times New Roman" w:cs="Times New Roman"/>
          <w:b/>
        </w:rPr>
        <w:t>No. 13</w:t>
      </w:r>
      <w:r w:rsidR="00952350">
        <w:rPr>
          <w:rFonts w:ascii="Times New Roman" w:hAnsi="Times New Roman" w:cs="Times New Roman"/>
          <w:b/>
        </w:rPr>
        <w:t>-485</w:t>
      </w:r>
    </w:p>
    <w:p w:rsidR="007E1112" w:rsidRDefault="007E1112" w:rsidP="008E7580">
      <w:pPr>
        <w:pBdr>
          <w:top w:val="single" w:sz="18" w:space="1" w:color="auto"/>
        </w:pBdr>
        <w:spacing w:after="0"/>
        <w:jc w:val="center"/>
        <w:rPr>
          <w:sz w:val="2"/>
        </w:rPr>
      </w:pPr>
    </w:p>
    <w:p w:rsidR="007E1112" w:rsidRPr="007E1112" w:rsidRDefault="007E1112" w:rsidP="007E1112">
      <w:pPr>
        <w:spacing w:before="20"/>
        <w:jc w:val="center"/>
        <w:rPr>
          <w:rFonts w:ascii="Times New Roman" w:hAnsi="Times New Roman" w:cs="Times New Roman"/>
          <w:smallCaps/>
        </w:rPr>
      </w:pPr>
      <w:r w:rsidRPr="007E1112">
        <w:rPr>
          <w:rFonts w:ascii="Times New Roman" w:hAnsi="Times New Roman" w:cs="Times New Roman"/>
          <w:smallCaps/>
        </w:rPr>
        <w:t>In The</w:t>
      </w:r>
    </w:p>
    <w:p w:rsidR="007E1112" w:rsidRPr="008E7580" w:rsidRDefault="007E1112" w:rsidP="007E1112">
      <w:pPr>
        <w:pStyle w:val="CourtVenue"/>
        <w:rPr>
          <w:rFonts w:ascii="Old English Text MT" w:hAnsi="Old English Text MT"/>
          <w:b/>
          <w:sz w:val="44"/>
          <w:szCs w:val="44"/>
        </w:rPr>
      </w:pPr>
      <w:r w:rsidRPr="008E7580">
        <w:rPr>
          <w:rFonts w:ascii="Old English Text MT" w:hAnsi="Old English Text MT"/>
          <w:b/>
          <w:sz w:val="44"/>
          <w:szCs w:val="44"/>
        </w:rPr>
        <w:t>Supreme Court of the United States</w:t>
      </w:r>
    </w:p>
    <w:p w:rsidR="007E1112" w:rsidRDefault="007E1112" w:rsidP="007E1112">
      <w:pPr>
        <w:pBdr>
          <w:bottom w:val="single" w:sz="6" w:space="1" w:color="auto"/>
        </w:pBdr>
        <w:spacing w:after="240" w:line="200" w:lineRule="exact"/>
        <w:ind w:left="1800" w:right="1800"/>
        <w:jc w:val="center"/>
        <w:rPr>
          <w:smallCaps/>
        </w:rPr>
      </w:pPr>
    </w:p>
    <w:p w:rsidR="007E1112" w:rsidRPr="007E1112" w:rsidRDefault="007E1112" w:rsidP="007E1112">
      <w:pPr>
        <w:spacing w:line="280" w:lineRule="exact"/>
        <w:jc w:val="center"/>
        <w:rPr>
          <w:rFonts w:ascii="Times New Roman" w:hAnsi="Times New Roman" w:cs="Times New Roman"/>
        </w:rPr>
      </w:pPr>
      <w:r w:rsidRPr="007E1112">
        <w:rPr>
          <w:rFonts w:ascii="Times New Roman" w:hAnsi="Times New Roman" w:cs="Times New Roman"/>
          <w:smallCaps/>
        </w:rPr>
        <w:t>Maryland State Comptroller of the Treasury,</w:t>
      </w:r>
    </w:p>
    <w:p w:rsidR="007E1112" w:rsidRPr="007E1112" w:rsidRDefault="007E1112" w:rsidP="007E1112">
      <w:pPr>
        <w:spacing w:line="280" w:lineRule="exact"/>
        <w:jc w:val="right"/>
        <w:rPr>
          <w:rFonts w:ascii="Times New Roman" w:hAnsi="Times New Roman" w:cs="Times New Roman"/>
        </w:rPr>
      </w:pPr>
      <w:r w:rsidRPr="007E1112">
        <w:rPr>
          <w:rFonts w:ascii="Times New Roman" w:hAnsi="Times New Roman" w:cs="Times New Roman"/>
          <w:i/>
        </w:rPr>
        <w:t>Petitioner</w:t>
      </w:r>
      <w:r w:rsidRPr="007E1112">
        <w:rPr>
          <w:rFonts w:ascii="Times New Roman" w:hAnsi="Times New Roman" w:cs="Times New Roman"/>
        </w:rPr>
        <w:t>,</w:t>
      </w:r>
    </w:p>
    <w:p w:rsidR="007E1112" w:rsidRPr="007E1112" w:rsidRDefault="007E1112" w:rsidP="007E1112">
      <w:pPr>
        <w:spacing w:line="200" w:lineRule="exact"/>
        <w:jc w:val="center"/>
        <w:rPr>
          <w:rFonts w:ascii="Times New Roman" w:hAnsi="Times New Roman" w:cs="Times New Roman"/>
        </w:rPr>
      </w:pPr>
      <w:proofErr w:type="gramStart"/>
      <w:r w:rsidRPr="007E1112">
        <w:rPr>
          <w:rFonts w:ascii="Times New Roman" w:hAnsi="Times New Roman" w:cs="Times New Roman"/>
        </w:rPr>
        <w:t>v</w:t>
      </w:r>
      <w:proofErr w:type="gramEnd"/>
      <w:r w:rsidRPr="007E1112">
        <w:rPr>
          <w:rFonts w:ascii="Times New Roman" w:hAnsi="Times New Roman" w:cs="Times New Roman"/>
        </w:rPr>
        <w:t>.</w:t>
      </w:r>
    </w:p>
    <w:p w:rsidR="007E1112" w:rsidRPr="007E1112" w:rsidRDefault="007E1112" w:rsidP="007E1112">
      <w:pPr>
        <w:spacing w:before="120" w:after="120" w:line="280" w:lineRule="exact"/>
        <w:jc w:val="center"/>
        <w:rPr>
          <w:rFonts w:ascii="Times New Roman" w:hAnsi="Times New Roman" w:cs="Times New Roman"/>
          <w:smallCaps/>
        </w:rPr>
      </w:pPr>
      <w:r w:rsidRPr="007E1112">
        <w:rPr>
          <w:rFonts w:ascii="Times New Roman" w:hAnsi="Times New Roman" w:cs="Times New Roman"/>
          <w:smallCaps/>
        </w:rPr>
        <w:t>Brian Wynne,</w:t>
      </w:r>
      <w:r w:rsidRPr="007E1112">
        <w:rPr>
          <w:rFonts w:ascii="Times New Roman" w:hAnsi="Times New Roman" w:cs="Times New Roman"/>
          <w:i/>
        </w:rPr>
        <w:t xml:space="preserve"> </w:t>
      </w:r>
      <w:proofErr w:type="gramStart"/>
      <w:r w:rsidRPr="007E1112">
        <w:rPr>
          <w:rFonts w:ascii="Times New Roman" w:hAnsi="Times New Roman" w:cs="Times New Roman"/>
          <w:i/>
        </w:rPr>
        <w:t>et</w:t>
      </w:r>
      <w:proofErr w:type="gramEnd"/>
      <w:r w:rsidRPr="007E1112">
        <w:rPr>
          <w:rFonts w:ascii="Times New Roman" w:hAnsi="Times New Roman" w:cs="Times New Roman"/>
          <w:i/>
        </w:rPr>
        <w:t xml:space="preserve"> </w:t>
      </w:r>
      <w:proofErr w:type="spellStart"/>
      <w:r w:rsidRPr="007E1112">
        <w:rPr>
          <w:rFonts w:ascii="Times New Roman" w:hAnsi="Times New Roman" w:cs="Times New Roman"/>
          <w:i/>
        </w:rPr>
        <w:t>ux</w:t>
      </w:r>
      <w:proofErr w:type="spellEnd"/>
      <w:r w:rsidRPr="007E1112">
        <w:rPr>
          <w:rFonts w:ascii="Times New Roman" w:hAnsi="Times New Roman" w:cs="Times New Roman"/>
          <w:smallCaps/>
        </w:rPr>
        <w:t>,</w:t>
      </w:r>
    </w:p>
    <w:p w:rsidR="007E1112" w:rsidRPr="007E1112" w:rsidRDefault="007E1112" w:rsidP="008E7580">
      <w:pPr>
        <w:spacing w:after="0" w:line="280" w:lineRule="exact"/>
        <w:jc w:val="right"/>
        <w:rPr>
          <w:rFonts w:ascii="Times New Roman" w:hAnsi="Times New Roman" w:cs="Times New Roman"/>
          <w:sz w:val="26"/>
        </w:rPr>
      </w:pPr>
      <w:proofErr w:type="gramStart"/>
      <w:r w:rsidRPr="007E1112">
        <w:rPr>
          <w:rFonts w:ascii="Times New Roman" w:hAnsi="Times New Roman" w:cs="Times New Roman"/>
          <w:i/>
        </w:rPr>
        <w:t>Respondents</w:t>
      </w:r>
      <w:r w:rsidRPr="007E1112">
        <w:rPr>
          <w:rFonts w:ascii="Times New Roman" w:hAnsi="Times New Roman" w:cs="Times New Roman"/>
        </w:rPr>
        <w:t>.</w:t>
      </w:r>
      <w:proofErr w:type="gramEnd"/>
    </w:p>
    <w:p w:rsidR="007E1112" w:rsidRPr="007E1112" w:rsidRDefault="007E1112" w:rsidP="008E7580">
      <w:pPr>
        <w:pBdr>
          <w:bottom w:val="single" w:sz="6" w:space="1" w:color="auto"/>
        </w:pBdr>
        <w:spacing w:after="0" w:line="200" w:lineRule="exact"/>
        <w:ind w:left="1800" w:right="1800"/>
        <w:jc w:val="center"/>
        <w:rPr>
          <w:rFonts w:ascii="Times New Roman" w:hAnsi="Times New Roman" w:cs="Times New Roman"/>
          <w:smallCaps/>
        </w:rPr>
      </w:pPr>
    </w:p>
    <w:p w:rsidR="007E1112" w:rsidRPr="007E1112" w:rsidRDefault="007E1112" w:rsidP="008E7580">
      <w:pPr>
        <w:spacing w:before="240" w:after="0" w:line="280" w:lineRule="exact"/>
        <w:jc w:val="center"/>
        <w:rPr>
          <w:rFonts w:ascii="Times New Roman" w:hAnsi="Times New Roman" w:cs="Times New Roman"/>
          <w:b/>
          <w:sz w:val="24"/>
          <w:szCs w:val="24"/>
        </w:rPr>
      </w:pPr>
      <w:r w:rsidRPr="007E1112">
        <w:rPr>
          <w:rFonts w:ascii="Times New Roman" w:hAnsi="Times New Roman" w:cs="Times New Roman"/>
          <w:b/>
          <w:sz w:val="24"/>
          <w:szCs w:val="24"/>
        </w:rPr>
        <w:t xml:space="preserve">On Petition for a Writ of Certiorari to the </w:t>
      </w:r>
      <w:r w:rsidRPr="007E1112">
        <w:rPr>
          <w:rFonts w:ascii="Times New Roman" w:hAnsi="Times New Roman" w:cs="Times New Roman"/>
          <w:b/>
          <w:sz w:val="24"/>
          <w:szCs w:val="24"/>
        </w:rPr>
        <w:br/>
        <w:t>Court of Appeals of Maryland</w:t>
      </w:r>
    </w:p>
    <w:p w:rsidR="007E1112" w:rsidRPr="007E1112" w:rsidRDefault="007E1112" w:rsidP="008E7580">
      <w:pPr>
        <w:pBdr>
          <w:bottom w:val="single" w:sz="6" w:space="1" w:color="auto"/>
        </w:pBdr>
        <w:spacing w:after="0" w:line="200" w:lineRule="exact"/>
        <w:ind w:left="1800" w:right="1800"/>
        <w:jc w:val="center"/>
        <w:rPr>
          <w:rFonts w:ascii="Times New Roman" w:hAnsi="Times New Roman" w:cs="Times New Roman"/>
          <w:smallCaps/>
        </w:rPr>
      </w:pPr>
    </w:p>
    <w:p w:rsidR="007E1112" w:rsidRDefault="007E1112" w:rsidP="007E1112">
      <w:pPr>
        <w:spacing w:before="240" w:after="0" w:line="280" w:lineRule="exact"/>
        <w:jc w:val="center"/>
        <w:rPr>
          <w:rFonts w:ascii="Times New Roman" w:hAnsi="Times New Roman" w:cs="Times New Roman"/>
          <w:b/>
        </w:rPr>
      </w:pPr>
      <w:r w:rsidRPr="007E1112">
        <w:rPr>
          <w:rFonts w:ascii="Times New Roman" w:hAnsi="Times New Roman" w:cs="Times New Roman"/>
          <w:b/>
        </w:rPr>
        <w:t xml:space="preserve">BRIEF OF THE INTERNATIONAL MUNICIPAL </w:t>
      </w:r>
      <w:r>
        <w:rPr>
          <w:rFonts w:ascii="Times New Roman" w:hAnsi="Times New Roman" w:cs="Times New Roman"/>
          <w:b/>
        </w:rPr>
        <w:t xml:space="preserve">           </w:t>
      </w:r>
      <w:r w:rsidRPr="007E1112">
        <w:rPr>
          <w:rFonts w:ascii="Times New Roman" w:hAnsi="Times New Roman" w:cs="Times New Roman"/>
          <w:b/>
        </w:rPr>
        <w:t xml:space="preserve">LAWYERS ASSOCIATION AS </w:t>
      </w:r>
      <w:r w:rsidRPr="007E1112">
        <w:rPr>
          <w:rFonts w:ascii="Times New Roman" w:hAnsi="Times New Roman" w:cs="Times New Roman"/>
          <w:b/>
          <w:i/>
        </w:rPr>
        <w:t xml:space="preserve">AMICUS CURIAE      </w:t>
      </w:r>
      <w:r>
        <w:rPr>
          <w:rFonts w:ascii="Times New Roman" w:hAnsi="Times New Roman" w:cs="Times New Roman"/>
          <w:b/>
          <w:i/>
        </w:rPr>
        <w:t xml:space="preserve">                                          </w:t>
      </w:r>
      <w:r w:rsidRPr="007E1112">
        <w:rPr>
          <w:rFonts w:ascii="Times New Roman" w:hAnsi="Times New Roman" w:cs="Times New Roman"/>
          <w:b/>
          <w:i/>
        </w:rPr>
        <w:t xml:space="preserve"> </w:t>
      </w:r>
      <w:r w:rsidRPr="007E1112">
        <w:rPr>
          <w:rFonts w:ascii="Times New Roman" w:hAnsi="Times New Roman" w:cs="Times New Roman"/>
          <w:b/>
        </w:rPr>
        <w:t>IN SUPPORT OF PETITIONER</w:t>
      </w:r>
    </w:p>
    <w:p w:rsidR="007E1112" w:rsidRPr="009139E2" w:rsidRDefault="007E1112" w:rsidP="007E1112">
      <w:pPr>
        <w:pBdr>
          <w:bottom w:val="single" w:sz="6" w:space="1" w:color="auto"/>
        </w:pBdr>
        <w:spacing w:after="0" w:line="240" w:lineRule="exact"/>
        <w:ind w:left="1800" w:right="1800"/>
        <w:jc w:val="center"/>
        <w:rPr>
          <w:smallCaps/>
          <w:sz w:val="16"/>
          <w:szCs w:val="16"/>
        </w:rPr>
      </w:pPr>
    </w:p>
    <w:tbl>
      <w:tblPr>
        <w:tblW w:w="6240" w:type="dxa"/>
        <w:tblInd w:w="-120" w:type="dxa"/>
        <w:tblCellMar>
          <w:left w:w="0" w:type="dxa"/>
          <w:right w:w="0" w:type="dxa"/>
        </w:tblCellMar>
        <w:tblLook w:val="0000" w:firstRow="0" w:lastRow="0" w:firstColumn="0" w:lastColumn="0" w:noHBand="0" w:noVBand="0"/>
      </w:tblPr>
      <w:tblGrid>
        <w:gridCol w:w="2820"/>
        <w:gridCol w:w="3420"/>
      </w:tblGrid>
      <w:tr w:rsidR="007E1112" w:rsidTr="006658EC">
        <w:trPr>
          <w:trHeight w:val="3071"/>
        </w:trPr>
        <w:tc>
          <w:tcPr>
            <w:tcW w:w="2820" w:type="dxa"/>
          </w:tcPr>
          <w:p w:rsidR="007E1112" w:rsidRPr="008E7580" w:rsidRDefault="007E1112" w:rsidP="007E1112">
            <w:pPr>
              <w:spacing w:before="120" w:after="0" w:line="240" w:lineRule="exact"/>
              <w:rPr>
                <w:rFonts w:ascii="Times New Roman" w:hAnsi="Times New Roman" w:cs="Times New Roman"/>
                <w:smallCaps/>
              </w:rPr>
            </w:pPr>
            <w:r w:rsidRPr="008E7580">
              <w:rPr>
                <w:rFonts w:ascii="Times New Roman" w:hAnsi="Times New Roman" w:cs="Times New Roman"/>
                <w:smallCaps/>
              </w:rPr>
              <w:t>Charles W. Thompson, Jr.</w:t>
            </w:r>
          </w:p>
          <w:p w:rsidR="007E1112" w:rsidRPr="008E7580" w:rsidRDefault="007E1112" w:rsidP="007E1112">
            <w:pPr>
              <w:spacing w:after="0" w:line="260" w:lineRule="exact"/>
              <w:rPr>
                <w:rFonts w:ascii="Times New Roman" w:hAnsi="Times New Roman" w:cs="Times New Roman"/>
              </w:rPr>
            </w:pPr>
            <w:r w:rsidRPr="008E7580">
              <w:rPr>
                <w:rFonts w:ascii="Times New Roman" w:hAnsi="Times New Roman" w:cs="Times New Roman"/>
              </w:rPr>
              <w:t>Executive Director,</w:t>
            </w:r>
          </w:p>
          <w:p w:rsidR="007E1112" w:rsidRPr="008E7580" w:rsidRDefault="007E1112" w:rsidP="007E1112">
            <w:pPr>
              <w:spacing w:after="0" w:line="260" w:lineRule="exact"/>
              <w:ind w:left="300"/>
              <w:rPr>
                <w:rFonts w:ascii="Times New Roman" w:hAnsi="Times New Roman" w:cs="Times New Roman"/>
              </w:rPr>
            </w:pPr>
            <w:r w:rsidRPr="008E7580">
              <w:rPr>
                <w:rFonts w:ascii="Times New Roman" w:hAnsi="Times New Roman" w:cs="Times New Roman"/>
              </w:rPr>
              <w:t>General Counsel</w:t>
            </w:r>
          </w:p>
          <w:p w:rsidR="007E1112" w:rsidRPr="008E7580" w:rsidRDefault="007E1112" w:rsidP="007E1112">
            <w:pPr>
              <w:spacing w:after="0" w:line="260" w:lineRule="exact"/>
              <w:rPr>
                <w:rFonts w:ascii="Times New Roman" w:hAnsi="Times New Roman" w:cs="Times New Roman"/>
                <w:smallCaps/>
              </w:rPr>
            </w:pPr>
            <w:r w:rsidRPr="008E7580">
              <w:rPr>
                <w:rFonts w:ascii="Times New Roman" w:hAnsi="Times New Roman" w:cs="Times New Roman"/>
                <w:smallCaps/>
              </w:rPr>
              <w:t xml:space="preserve">International Municipal </w:t>
            </w:r>
          </w:p>
          <w:p w:rsidR="007E1112" w:rsidRPr="008E7580" w:rsidRDefault="007E1112" w:rsidP="007E1112">
            <w:pPr>
              <w:spacing w:after="0" w:line="260" w:lineRule="exact"/>
              <w:ind w:left="300"/>
              <w:rPr>
                <w:rFonts w:ascii="Times New Roman" w:hAnsi="Times New Roman" w:cs="Times New Roman"/>
                <w:smallCaps/>
              </w:rPr>
            </w:pPr>
            <w:r w:rsidRPr="008E7580">
              <w:rPr>
                <w:rFonts w:ascii="Times New Roman" w:hAnsi="Times New Roman" w:cs="Times New Roman"/>
                <w:smallCaps/>
              </w:rPr>
              <w:t>Lawyers Association</w:t>
            </w:r>
          </w:p>
          <w:p w:rsidR="007E1112" w:rsidRPr="008E7580" w:rsidRDefault="007E1112" w:rsidP="007E1112">
            <w:pPr>
              <w:spacing w:after="0" w:line="260" w:lineRule="exact"/>
              <w:rPr>
                <w:rFonts w:ascii="Times New Roman" w:hAnsi="Times New Roman" w:cs="Times New Roman"/>
              </w:rPr>
            </w:pPr>
            <w:r w:rsidRPr="008E7580">
              <w:rPr>
                <w:rFonts w:ascii="Times New Roman" w:hAnsi="Times New Roman" w:cs="Times New Roman"/>
              </w:rPr>
              <w:t>7910 Woodmont Ave.</w:t>
            </w:r>
          </w:p>
          <w:p w:rsidR="007E1112" w:rsidRPr="008E7580" w:rsidRDefault="007E1112" w:rsidP="007E1112">
            <w:pPr>
              <w:spacing w:after="0" w:line="260" w:lineRule="exact"/>
              <w:rPr>
                <w:rFonts w:ascii="Times New Roman" w:hAnsi="Times New Roman" w:cs="Times New Roman"/>
              </w:rPr>
            </w:pPr>
            <w:r w:rsidRPr="008E7580">
              <w:rPr>
                <w:rFonts w:ascii="Times New Roman" w:hAnsi="Times New Roman" w:cs="Times New Roman"/>
              </w:rPr>
              <w:t>Suite 1440</w:t>
            </w:r>
          </w:p>
          <w:p w:rsidR="007E1112" w:rsidRPr="008E7580" w:rsidRDefault="007E1112" w:rsidP="007E1112">
            <w:pPr>
              <w:spacing w:after="0" w:line="260" w:lineRule="exact"/>
              <w:rPr>
                <w:rFonts w:ascii="Times New Roman" w:hAnsi="Times New Roman" w:cs="Times New Roman"/>
              </w:rPr>
            </w:pPr>
            <w:r w:rsidRPr="008E7580">
              <w:rPr>
                <w:rFonts w:ascii="Times New Roman" w:hAnsi="Times New Roman" w:cs="Times New Roman"/>
              </w:rPr>
              <w:t>Bethesda, MD 20814</w:t>
            </w:r>
          </w:p>
          <w:p w:rsidR="007E1112" w:rsidRPr="008E7580" w:rsidRDefault="007E1112" w:rsidP="007E1112">
            <w:pPr>
              <w:spacing w:after="0" w:line="260" w:lineRule="exact"/>
              <w:rPr>
                <w:rFonts w:ascii="Times New Roman" w:hAnsi="Times New Roman" w:cs="Times New Roman"/>
              </w:rPr>
            </w:pPr>
            <w:r w:rsidRPr="008E7580">
              <w:rPr>
                <w:rFonts w:ascii="Times New Roman" w:hAnsi="Times New Roman" w:cs="Times New Roman"/>
              </w:rPr>
              <w:t>(202) 466-5424</w:t>
            </w:r>
          </w:p>
          <w:p w:rsidR="007E1112" w:rsidRPr="008E7580" w:rsidRDefault="007E1112" w:rsidP="007E1112">
            <w:pPr>
              <w:spacing w:after="0" w:line="260" w:lineRule="exact"/>
              <w:rPr>
                <w:rFonts w:ascii="Times New Roman" w:hAnsi="Times New Roman" w:cs="Times New Roman"/>
              </w:rPr>
            </w:pPr>
          </w:p>
        </w:tc>
        <w:tc>
          <w:tcPr>
            <w:tcW w:w="3420" w:type="dxa"/>
          </w:tcPr>
          <w:p w:rsidR="007E1112" w:rsidRPr="008E7580" w:rsidRDefault="007E1112" w:rsidP="007E1112">
            <w:pPr>
              <w:spacing w:before="120" w:after="0" w:line="240" w:lineRule="exact"/>
              <w:ind w:left="720"/>
              <w:rPr>
                <w:rFonts w:ascii="Times New Roman" w:hAnsi="Times New Roman" w:cs="Times New Roman"/>
                <w:smallCaps/>
              </w:rPr>
            </w:pPr>
            <w:r w:rsidRPr="008E7580">
              <w:rPr>
                <w:rFonts w:ascii="Times New Roman" w:hAnsi="Times New Roman" w:cs="Times New Roman"/>
                <w:smallCaps/>
              </w:rPr>
              <w:t>Erich R. Eiselt</w:t>
            </w:r>
          </w:p>
          <w:p w:rsidR="007E1112" w:rsidRPr="008E7580" w:rsidRDefault="007E1112" w:rsidP="007E1112">
            <w:pPr>
              <w:spacing w:after="0" w:line="260" w:lineRule="exact"/>
              <w:ind w:left="720"/>
              <w:rPr>
                <w:rFonts w:ascii="Times New Roman" w:hAnsi="Times New Roman" w:cs="Times New Roman"/>
                <w:smallCaps/>
              </w:rPr>
            </w:pPr>
            <w:r w:rsidRPr="008E7580">
              <w:rPr>
                <w:rFonts w:ascii="Times New Roman" w:hAnsi="Times New Roman" w:cs="Times New Roman"/>
                <w:i/>
              </w:rPr>
              <w:t xml:space="preserve">   Counsel of Record</w:t>
            </w:r>
          </w:p>
          <w:p w:rsidR="007E1112" w:rsidRPr="008E7580" w:rsidRDefault="004407CA" w:rsidP="007E1112">
            <w:pPr>
              <w:spacing w:after="0" w:line="260" w:lineRule="exact"/>
              <w:ind w:left="720"/>
              <w:rPr>
                <w:rFonts w:ascii="Times New Roman" w:hAnsi="Times New Roman" w:cs="Times New Roman"/>
                <w:smallCaps/>
              </w:rPr>
            </w:pPr>
            <w:r>
              <w:rPr>
                <w:rFonts w:ascii="Times New Roman" w:hAnsi="Times New Roman" w:cs="Times New Roman"/>
                <w:smallCaps/>
              </w:rPr>
              <w:t>Amanda Kella</w:t>
            </w:r>
            <w:r w:rsidR="007E1112" w:rsidRPr="008E7580">
              <w:rPr>
                <w:rFonts w:ascii="Times New Roman" w:hAnsi="Times New Roman" w:cs="Times New Roman"/>
                <w:smallCaps/>
              </w:rPr>
              <w:t>r</w:t>
            </w:r>
          </w:p>
          <w:p w:rsidR="007E1112" w:rsidRPr="008E7580" w:rsidRDefault="007E1112" w:rsidP="007E1112">
            <w:pPr>
              <w:spacing w:after="0" w:line="260" w:lineRule="exact"/>
              <w:ind w:left="720"/>
              <w:rPr>
                <w:rFonts w:ascii="Times New Roman" w:hAnsi="Times New Roman" w:cs="Times New Roman"/>
                <w:smallCaps/>
              </w:rPr>
            </w:pPr>
            <w:r w:rsidRPr="008E7580">
              <w:rPr>
                <w:rFonts w:ascii="Times New Roman" w:hAnsi="Times New Roman" w:cs="Times New Roman"/>
                <w:smallCaps/>
              </w:rPr>
              <w:t>Taggart Hutchinson</w:t>
            </w:r>
          </w:p>
          <w:p w:rsidR="007E1112" w:rsidRPr="008E7580" w:rsidRDefault="007E1112" w:rsidP="007E1112">
            <w:pPr>
              <w:spacing w:after="0" w:line="260" w:lineRule="exact"/>
              <w:ind w:left="720"/>
              <w:rPr>
                <w:rFonts w:ascii="Times New Roman" w:hAnsi="Times New Roman" w:cs="Times New Roman"/>
                <w:smallCaps/>
              </w:rPr>
            </w:pPr>
            <w:r w:rsidRPr="008E7580">
              <w:rPr>
                <w:rFonts w:ascii="Times New Roman" w:hAnsi="Times New Roman" w:cs="Times New Roman"/>
                <w:smallCaps/>
              </w:rPr>
              <w:t xml:space="preserve">International Municipal </w:t>
            </w:r>
          </w:p>
          <w:p w:rsidR="007E1112" w:rsidRPr="008E7580" w:rsidRDefault="007E1112" w:rsidP="007E1112">
            <w:pPr>
              <w:spacing w:after="0" w:line="260" w:lineRule="exact"/>
              <w:ind w:left="1080"/>
              <w:rPr>
                <w:rFonts w:ascii="Times New Roman" w:hAnsi="Times New Roman" w:cs="Times New Roman"/>
                <w:smallCaps/>
              </w:rPr>
            </w:pPr>
            <w:r w:rsidRPr="008E7580">
              <w:rPr>
                <w:rFonts w:ascii="Times New Roman" w:hAnsi="Times New Roman" w:cs="Times New Roman"/>
                <w:smallCaps/>
              </w:rPr>
              <w:t>Lawyers Association</w:t>
            </w:r>
          </w:p>
          <w:p w:rsidR="007E1112" w:rsidRPr="008E7580" w:rsidRDefault="007E1112" w:rsidP="007E1112">
            <w:pPr>
              <w:spacing w:after="0" w:line="260" w:lineRule="exact"/>
              <w:ind w:left="720"/>
              <w:rPr>
                <w:rFonts w:ascii="Times New Roman" w:hAnsi="Times New Roman" w:cs="Times New Roman"/>
              </w:rPr>
            </w:pPr>
            <w:r w:rsidRPr="008E7580">
              <w:rPr>
                <w:rFonts w:ascii="Times New Roman" w:hAnsi="Times New Roman" w:cs="Times New Roman"/>
              </w:rPr>
              <w:t>7910 Woodmont Ave.</w:t>
            </w:r>
          </w:p>
          <w:p w:rsidR="007E1112" w:rsidRPr="008E7580" w:rsidRDefault="007E1112" w:rsidP="007E1112">
            <w:pPr>
              <w:spacing w:after="0" w:line="260" w:lineRule="exact"/>
              <w:ind w:left="720"/>
              <w:rPr>
                <w:rFonts w:ascii="Times New Roman" w:hAnsi="Times New Roman" w:cs="Times New Roman"/>
              </w:rPr>
            </w:pPr>
            <w:r w:rsidRPr="008E7580">
              <w:rPr>
                <w:rFonts w:ascii="Times New Roman" w:hAnsi="Times New Roman" w:cs="Times New Roman"/>
              </w:rPr>
              <w:t>Suite 1440</w:t>
            </w:r>
          </w:p>
          <w:p w:rsidR="007E1112" w:rsidRPr="008E7580" w:rsidRDefault="007E1112" w:rsidP="007E1112">
            <w:pPr>
              <w:spacing w:after="0" w:line="260" w:lineRule="exact"/>
              <w:ind w:left="720"/>
              <w:rPr>
                <w:rFonts w:ascii="Times New Roman" w:hAnsi="Times New Roman" w:cs="Times New Roman"/>
              </w:rPr>
            </w:pPr>
            <w:r w:rsidRPr="008E7580">
              <w:rPr>
                <w:rFonts w:ascii="Times New Roman" w:hAnsi="Times New Roman" w:cs="Times New Roman"/>
              </w:rPr>
              <w:t>Bethesda, MD 20814</w:t>
            </w:r>
          </w:p>
          <w:p w:rsidR="007E1112" w:rsidRPr="008E7580" w:rsidRDefault="007E1112" w:rsidP="007E1112">
            <w:pPr>
              <w:spacing w:after="0" w:line="260" w:lineRule="exact"/>
              <w:ind w:left="720"/>
              <w:rPr>
                <w:rFonts w:ascii="Times New Roman" w:hAnsi="Times New Roman" w:cs="Times New Roman"/>
              </w:rPr>
            </w:pPr>
            <w:r w:rsidRPr="008E7580">
              <w:rPr>
                <w:rFonts w:ascii="Times New Roman" w:hAnsi="Times New Roman" w:cs="Times New Roman"/>
              </w:rPr>
              <w:t>(202) 466-5424</w:t>
            </w:r>
          </w:p>
          <w:p w:rsidR="007E1112" w:rsidRPr="008E7580" w:rsidRDefault="007E1112" w:rsidP="007E1112">
            <w:pPr>
              <w:spacing w:after="0" w:line="260" w:lineRule="exact"/>
              <w:ind w:left="720"/>
              <w:rPr>
                <w:rFonts w:ascii="Times New Roman" w:hAnsi="Times New Roman" w:cs="Times New Roman"/>
              </w:rPr>
            </w:pPr>
            <w:r w:rsidRPr="008E7580">
              <w:rPr>
                <w:rFonts w:ascii="Times New Roman" w:hAnsi="Times New Roman" w:cs="Times New Roman"/>
              </w:rPr>
              <w:t>eeiselt@imla.org</w:t>
            </w:r>
          </w:p>
          <w:p w:rsidR="007E1112" w:rsidRPr="008E7580" w:rsidRDefault="007E1112" w:rsidP="007E1112">
            <w:pPr>
              <w:spacing w:after="0" w:line="260" w:lineRule="exact"/>
              <w:ind w:left="720"/>
              <w:rPr>
                <w:rFonts w:ascii="Times New Roman" w:hAnsi="Times New Roman" w:cs="Times New Roman"/>
                <w:sz w:val="20"/>
              </w:rPr>
            </w:pPr>
          </w:p>
        </w:tc>
      </w:tr>
      <w:tr w:rsidR="007E1112" w:rsidTr="006658EC">
        <w:trPr>
          <w:trHeight w:val="318"/>
        </w:trPr>
        <w:tc>
          <w:tcPr>
            <w:tcW w:w="2820" w:type="dxa"/>
          </w:tcPr>
          <w:p w:rsidR="007E1112" w:rsidRDefault="007E1112" w:rsidP="008E7580">
            <w:pPr>
              <w:spacing w:before="120" w:after="0" w:line="240" w:lineRule="exact"/>
              <w:rPr>
                <w:smallCaps/>
              </w:rPr>
            </w:pPr>
          </w:p>
        </w:tc>
        <w:tc>
          <w:tcPr>
            <w:tcW w:w="3420" w:type="dxa"/>
          </w:tcPr>
          <w:p w:rsidR="007E1112" w:rsidRDefault="007E1112" w:rsidP="008E7580">
            <w:pPr>
              <w:spacing w:before="120" w:after="0" w:line="240" w:lineRule="exact"/>
              <w:ind w:left="720"/>
              <w:rPr>
                <w:smallCaps/>
              </w:rPr>
            </w:pPr>
          </w:p>
        </w:tc>
      </w:tr>
    </w:tbl>
    <w:p w:rsidR="007E1112" w:rsidRDefault="007E1112" w:rsidP="008E7580">
      <w:pPr>
        <w:pBdr>
          <w:bottom w:val="single" w:sz="6" w:space="1" w:color="auto"/>
        </w:pBdr>
        <w:spacing w:after="0"/>
        <w:jc w:val="center"/>
        <w:rPr>
          <w:sz w:val="2"/>
        </w:rPr>
      </w:pPr>
    </w:p>
    <w:p w:rsidR="007E1112" w:rsidRPr="008E7580" w:rsidRDefault="007E1112" w:rsidP="008E7580">
      <w:pPr>
        <w:pBdr>
          <w:bottom w:val="single" w:sz="6" w:space="1" w:color="auto"/>
        </w:pBdr>
        <w:spacing w:after="0" w:line="-240" w:lineRule="auto"/>
        <w:jc w:val="center"/>
        <w:rPr>
          <w:rFonts w:ascii="Times New Roman" w:hAnsi="Times New Roman" w:cs="Times New Roman"/>
          <w:i/>
          <w:sz w:val="24"/>
          <w:szCs w:val="24"/>
        </w:rPr>
      </w:pPr>
      <w:r w:rsidRPr="008E7580">
        <w:rPr>
          <w:rFonts w:ascii="Times New Roman" w:hAnsi="Times New Roman" w:cs="Times New Roman"/>
          <w:i/>
          <w:sz w:val="24"/>
          <w:szCs w:val="24"/>
        </w:rPr>
        <w:t>Counsel for Amicus Curiae</w:t>
      </w:r>
    </w:p>
    <w:p w:rsidR="007E1112" w:rsidRDefault="007E1112" w:rsidP="008E7580">
      <w:pPr>
        <w:pBdr>
          <w:bottom w:val="single" w:sz="6" w:space="1" w:color="auto"/>
        </w:pBdr>
        <w:spacing w:after="0" w:line="-40" w:lineRule="auto"/>
        <w:jc w:val="center"/>
        <w:rPr>
          <w:i/>
        </w:rPr>
      </w:pPr>
    </w:p>
    <w:p w:rsidR="007E1112" w:rsidRDefault="007E1112" w:rsidP="008E7580">
      <w:pPr>
        <w:pBdr>
          <w:bottom w:val="single" w:sz="18" w:space="1" w:color="auto"/>
        </w:pBdr>
        <w:spacing w:after="0"/>
        <w:jc w:val="center"/>
        <w:rPr>
          <w:sz w:val="2"/>
        </w:rPr>
      </w:pPr>
    </w:p>
    <w:p w:rsidR="007E1112" w:rsidRDefault="007E1112" w:rsidP="007E1112">
      <w:pPr>
        <w:sectPr w:rsidR="007E1112" w:rsidSect="007E1112">
          <w:headerReference w:type="even" r:id="rId9"/>
          <w:headerReference w:type="default" r:id="rId10"/>
          <w:footerReference w:type="even" r:id="rId11"/>
          <w:footerReference w:type="default" r:id="rId12"/>
          <w:headerReference w:type="first" r:id="rId13"/>
          <w:footerReference w:type="first" r:id="rId14"/>
          <w:pgSz w:w="12240" w:h="15840" w:code="1"/>
          <w:pgMar w:top="2448" w:right="2880" w:bottom="2016" w:left="2880" w:header="1786" w:footer="0" w:gutter="0"/>
          <w:cols w:space="720"/>
          <w:titlePg/>
          <w:docGrid w:linePitch="360"/>
        </w:sectPr>
      </w:pPr>
    </w:p>
    <w:p w:rsidR="00DF525F" w:rsidRDefault="00DF525F" w:rsidP="00DF525F">
      <w:pPr>
        <w:pStyle w:val="Single"/>
        <w:jc w:val="center"/>
      </w:pPr>
      <w:bookmarkStart w:id="1" w:name="_Toc444059137"/>
    </w:p>
    <w:p w:rsidR="004F418B" w:rsidRPr="004F418B" w:rsidRDefault="004F418B" w:rsidP="004F418B">
      <w:pPr>
        <w:pStyle w:val="Single"/>
        <w:jc w:val="center"/>
        <w:rPr>
          <w:rFonts w:ascii="Times New Roman" w:hAnsi="Times New Roman"/>
          <w:b/>
        </w:rPr>
      </w:pPr>
      <w:r w:rsidRPr="004F418B">
        <w:rPr>
          <w:rFonts w:ascii="Times New Roman" w:hAnsi="Times New Roman"/>
          <w:b/>
        </w:rPr>
        <w:t>QUESTION PRESENTED</w:t>
      </w:r>
    </w:p>
    <w:p w:rsidR="004F418B" w:rsidRDefault="004F418B" w:rsidP="004F418B">
      <w:pPr>
        <w:pStyle w:val="Single"/>
        <w:jc w:val="center"/>
      </w:pPr>
    </w:p>
    <w:p w:rsidR="004F418B" w:rsidRPr="0066399C" w:rsidRDefault="00BB45DB" w:rsidP="0066399C">
      <w:pPr>
        <w:pStyle w:val="Single"/>
      </w:pPr>
      <w:r w:rsidRPr="0066399C">
        <w:rPr>
          <w:rFonts w:ascii="Times New Roman" w:hAnsi="Times New Roman"/>
          <w:sz w:val="28"/>
          <w:szCs w:val="28"/>
        </w:rPr>
        <w:t>Whether a state may tax all the income of its residents, wherever</w:t>
      </w:r>
      <w:r w:rsidR="004407CA">
        <w:rPr>
          <w:rFonts w:ascii="Times New Roman" w:hAnsi="Times New Roman"/>
          <w:sz w:val="28"/>
          <w:szCs w:val="28"/>
        </w:rPr>
        <w:t xml:space="preserve"> earned, or </w:t>
      </w:r>
      <w:r w:rsidR="00B00D29">
        <w:rPr>
          <w:rFonts w:ascii="Times New Roman" w:hAnsi="Times New Roman"/>
          <w:sz w:val="28"/>
          <w:szCs w:val="28"/>
        </w:rPr>
        <w:t xml:space="preserve">whether the Constitution requires that it </w:t>
      </w:r>
      <w:r w:rsidRPr="0066399C">
        <w:rPr>
          <w:rFonts w:ascii="Times New Roman" w:hAnsi="Times New Roman"/>
          <w:sz w:val="28"/>
          <w:szCs w:val="28"/>
        </w:rPr>
        <w:t>allow a dollar-for-dollar credit for all income taxes paid by those residents to other states?</w:t>
      </w:r>
    </w:p>
    <w:p w:rsidR="00737BC4" w:rsidRDefault="00737BC4" w:rsidP="007E1112">
      <w:pPr>
        <w:pStyle w:val="SingleCenter"/>
        <w:rPr>
          <w:rFonts w:ascii="Times New Roman" w:hAnsi="Times New Roman"/>
          <w:b/>
        </w:rPr>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jc w:val="center"/>
      </w:pPr>
    </w:p>
    <w:p w:rsidR="00BB45DB" w:rsidRPr="00BB45DB" w:rsidRDefault="00BB45DB" w:rsidP="00BB45DB">
      <w:pPr>
        <w:pStyle w:val="Single"/>
      </w:pPr>
    </w:p>
    <w:p w:rsidR="007E1112" w:rsidRPr="007959EB" w:rsidRDefault="007E1112" w:rsidP="007E1112">
      <w:pPr>
        <w:pStyle w:val="SingleCenter"/>
        <w:rPr>
          <w:rFonts w:ascii="Times New Roman" w:hAnsi="Times New Roman"/>
          <w:b/>
        </w:rPr>
      </w:pPr>
      <w:r w:rsidRPr="007959EB">
        <w:rPr>
          <w:rFonts w:ascii="Times New Roman" w:hAnsi="Times New Roman"/>
          <w:b/>
        </w:rPr>
        <w:lastRenderedPageBreak/>
        <w:t>TABLE OF CONTENTS</w:t>
      </w:r>
    </w:p>
    <w:p w:rsidR="007E1112" w:rsidRPr="007959EB" w:rsidRDefault="007E1112" w:rsidP="007E1112">
      <w:pPr>
        <w:pStyle w:val="SingleBlock"/>
        <w:jc w:val="right"/>
        <w:rPr>
          <w:rFonts w:ascii="Times New Roman" w:hAnsi="Times New Roman"/>
          <w:b/>
        </w:rPr>
      </w:pPr>
      <w:r w:rsidRPr="007959EB">
        <w:rPr>
          <w:rFonts w:ascii="Times New Roman" w:hAnsi="Times New Roman"/>
          <w:b/>
        </w:rPr>
        <w:t>Page</w:t>
      </w:r>
    </w:p>
    <w:p w:rsidR="00737BC4" w:rsidRPr="003B6B23" w:rsidRDefault="00737BC4" w:rsidP="00737BC4">
      <w:pPr>
        <w:pStyle w:val="SingleBlock"/>
        <w:jc w:val="left"/>
        <w:rPr>
          <w:rFonts w:ascii="Times New Roman" w:hAnsi="Times New Roman"/>
          <w:b/>
          <w:szCs w:val="24"/>
        </w:rPr>
      </w:pPr>
      <w:r w:rsidRPr="003B6B23">
        <w:rPr>
          <w:rFonts w:ascii="Times New Roman" w:hAnsi="Times New Roman"/>
          <w:b/>
          <w:szCs w:val="24"/>
        </w:rPr>
        <w:t xml:space="preserve">QUESTION PRESENTED…………………………..         </w:t>
      </w:r>
      <w:proofErr w:type="gramStart"/>
      <w:r w:rsidRPr="003B6B23">
        <w:rPr>
          <w:rFonts w:ascii="Times New Roman" w:hAnsi="Times New Roman"/>
          <w:b/>
          <w:szCs w:val="24"/>
        </w:rPr>
        <w:t>i</w:t>
      </w:r>
      <w:proofErr w:type="gramEnd"/>
    </w:p>
    <w:p w:rsidR="00737BC4" w:rsidRPr="003B6B23" w:rsidRDefault="00737BC4" w:rsidP="00737BC4">
      <w:pPr>
        <w:pStyle w:val="SingleBlock"/>
        <w:jc w:val="left"/>
        <w:rPr>
          <w:rFonts w:ascii="Times New Roman" w:hAnsi="Times New Roman"/>
          <w:b/>
          <w:szCs w:val="24"/>
        </w:rPr>
      </w:pPr>
      <w:r w:rsidRPr="003B6B23">
        <w:rPr>
          <w:rFonts w:ascii="Times New Roman" w:hAnsi="Times New Roman"/>
          <w:b/>
          <w:szCs w:val="24"/>
        </w:rPr>
        <w:t>TABLE OF AUTHORITIES…………………………       ii</w:t>
      </w:r>
    </w:p>
    <w:p w:rsidR="007E1112" w:rsidRPr="003B6B23" w:rsidRDefault="00737BC4" w:rsidP="00737BC4">
      <w:pPr>
        <w:pStyle w:val="SingleBlock"/>
        <w:jc w:val="left"/>
        <w:rPr>
          <w:rFonts w:ascii="Times New Roman" w:hAnsi="Times New Roman"/>
          <w:b/>
          <w:szCs w:val="24"/>
        </w:rPr>
      </w:pPr>
      <w:r w:rsidRPr="003B6B23">
        <w:rPr>
          <w:rFonts w:ascii="Times New Roman" w:hAnsi="Times New Roman"/>
          <w:b/>
          <w:szCs w:val="24"/>
        </w:rPr>
        <w:t xml:space="preserve">INTEREST OF </w:t>
      </w:r>
      <w:r w:rsidRPr="003B6B23">
        <w:rPr>
          <w:rFonts w:ascii="Times New Roman" w:hAnsi="Times New Roman"/>
          <w:b/>
          <w:i/>
          <w:szCs w:val="24"/>
        </w:rPr>
        <w:t>AMICUS CURIAE</w:t>
      </w:r>
      <w:r w:rsidRPr="003B6B23">
        <w:rPr>
          <w:rFonts w:ascii="Times New Roman" w:hAnsi="Times New Roman"/>
          <w:b/>
          <w:szCs w:val="24"/>
        </w:rPr>
        <w:t xml:space="preserve">………………….       </w:t>
      </w:r>
      <w:r w:rsidR="007959EB" w:rsidRPr="003B6B23">
        <w:rPr>
          <w:rFonts w:ascii="Times New Roman" w:hAnsi="Times New Roman"/>
          <w:b/>
          <w:szCs w:val="24"/>
        </w:rPr>
        <w:t xml:space="preserve"> 1</w:t>
      </w:r>
    </w:p>
    <w:p w:rsidR="00737BC4" w:rsidRPr="003B6B23" w:rsidRDefault="00737BC4" w:rsidP="00737BC4">
      <w:pPr>
        <w:pStyle w:val="SingleBlock"/>
        <w:jc w:val="left"/>
        <w:rPr>
          <w:rFonts w:ascii="Times New Roman" w:hAnsi="Times New Roman"/>
          <w:b/>
          <w:szCs w:val="24"/>
        </w:rPr>
      </w:pPr>
      <w:r w:rsidRPr="003B6B23">
        <w:rPr>
          <w:rFonts w:ascii="Times New Roman" w:hAnsi="Times New Roman"/>
          <w:b/>
          <w:szCs w:val="24"/>
        </w:rPr>
        <w:t>SUMMARY</w:t>
      </w:r>
      <w:r w:rsidR="00D36EC5" w:rsidRPr="003B6B23">
        <w:rPr>
          <w:rFonts w:ascii="Times New Roman" w:hAnsi="Times New Roman"/>
          <w:b/>
          <w:szCs w:val="24"/>
        </w:rPr>
        <w:t xml:space="preserve"> OF ARGUMENT………</w:t>
      </w:r>
      <w:r w:rsidRPr="003B6B23">
        <w:rPr>
          <w:rFonts w:ascii="Times New Roman" w:hAnsi="Times New Roman"/>
          <w:b/>
          <w:szCs w:val="24"/>
        </w:rPr>
        <w:t>………………</w:t>
      </w:r>
      <w:r w:rsidR="007959EB" w:rsidRPr="003B6B23">
        <w:rPr>
          <w:rFonts w:ascii="Times New Roman" w:hAnsi="Times New Roman"/>
          <w:b/>
          <w:szCs w:val="24"/>
        </w:rPr>
        <w:t xml:space="preserve">        2</w:t>
      </w:r>
    </w:p>
    <w:p w:rsidR="007959EB" w:rsidRPr="003B6B23" w:rsidRDefault="007959EB" w:rsidP="00737BC4">
      <w:pPr>
        <w:pStyle w:val="SingleBlock"/>
        <w:jc w:val="left"/>
        <w:rPr>
          <w:rFonts w:ascii="Times New Roman" w:hAnsi="Times New Roman"/>
          <w:b/>
          <w:szCs w:val="24"/>
        </w:rPr>
      </w:pPr>
      <w:r w:rsidRPr="003B6B23">
        <w:rPr>
          <w:rFonts w:ascii="Times New Roman" w:hAnsi="Times New Roman"/>
          <w:b/>
          <w:szCs w:val="24"/>
        </w:rPr>
        <w:t>REASONS FOR GRANTING THE PETITION...…        3</w:t>
      </w:r>
    </w:p>
    <w:p w:rsidR="005F04CE" w:rsidRDefault="00C27C42" w:rsidP="00737BC4">
      <w:pPr>
        <w:pStyle w:val="SingleBlock"/>
        <w:jc w:val="left"/>
        <w:rPr>
          <w:rFonts w:ascii="Times New Roman" w:hAnsi="Times New Roman"/>
          <w:b/>
          <w:szCs w:val="24"/>
        </w:rPr>
      </w:pPr>
      <w:r w:rsidRPr="003B6B23">
        <w:rPr>
          <w:rFonts w:ascii="Times New Roman" w:hAnsi="Times New Roman"/>
          <w:b/>
          <w:szCs w:val="24"/>
        </w:rPr>
        <w:t>ARGUMENT…………………………………………</w:t>
      </w:r>
      <w:r>
        <w:rPr>
          <w:rFonts w:ascii="Times New Roman" w:hAnsi="Times New Roman"/>
          <w:b/>
          <w:szCs w:val="24"/>
        </w:rPr>
        <w:t xml:space="preserve">         </w:t>
      </w:r>
      <w:r w:rsidR="00E630BD">
        <w:rPr>
          <w:rFonts w:ascii="Times New Roman" w:hAnsi="Times New Roman"/>
          <w:b/>
          <w:szCs w:val="24"/>
        </w:rPr>
        <w:t>4</w:t>
      </w:r>
    </w:p>
    <w:p w:rsidR="00E630BD" w:rsidRPr="003B6B23" w:rsidRDefault="00E630BD" w:rsidP="003B6B23">
      <w:pPr>
        <w:pStyle w:val="Heading2"/>
        <w:keepNext w:val="0"/>
        <w:keepLines w:val="0"/>
        <w:numPr>
          <w:ilvl w:val="0"/>
          <w:numId w:val="8"/>
        </w:numPr>
        <w:overflowPunct/>
        <w:autoSpaceDE/>
        <w:autoSpaceDN/>
        <w:adjustRightInd/>
        <w:spacing w:before="120" w:after="0" w:line="240" w:lineRule="auto"/>
        <w:ind w:right="532"/>
        <w:jc w:val="both"/>
        <w:textAlignment w:val="auto"/>
        <w:rPr>
          <w:rFonts w:ascii="Times New Roman" w:hAnsi="Times New Roman"/>
          <w:szCs w:val="24"/>
        </w:rPr>
      </w:pPr>
      <w:r w:rsidRPr="003B6B23">
        <w:rPr>
          <w:rFonts w:ascii="Times New Roman" w:hAnsi="Times New Roman"/>
          <w:szCs w:val="24"/>
        </w:rPr>
        <w:t>THE MARYLAND COURT</w:t>
      </w:r>
      <w:r w:rsidR="00905EAA">
        <w:rPr>
          <w:rFonts w:ascii="Times New Roman" w:hAnsi="Times New Roman"/>
          <w:szCs w:val="24"/>
        </w:rPr>
        <w:t>’s</w:t>
      </w:r>
      <w:r w:rsidRPr="003B6B23">
        <w:rPr>
          <w:rFonts w:ascii="Times New Roman" w:hAnsi="Times New Roman"/>
          <w:szCs w:val="24"/>
        </w:rPr>
        <w:t xml:space="preserve"> OF APPEALS DECISION </w:t>
      </w:r>
      <w:r w:rsidR="009D7802">
        <w:rPr>
          <w:rFonts w:ascii="Times New Roman" w:hAnsi="Times New Roman"/>
          <w:szCs w:val="24"/>
        </w:rPr>
        <w:t>is not mandated by the constitution and conflicts with numerous contrary holdings in other states</w:t>
      </w:r>
    </w:p>
    <w:p w:rsidR="00E630BD" w:rsidRPr="003B6B23" w:rsidRDefault="00E630BD" w:rsidP="003B6B23">
      <w:pPr>
        <w:pStyle w:val="Heading2"/>
        <w:keepNext w:val="0"/>
        <w:keepLines w:val="0"/>
        <w:numPr>
          <w:ilvl w:val="0"/>
          <w:numId w:val="8"/>
        </w:numPr>
        <w:overflowPunct/>
        <w:autoSpaceDE/>
        <w:autoSpaceDN/>
        <w:adjustRightInd/>
        <w:spacing w:before="120" w:after="0" w:line="240" w:lineRule="auto"/>
        <w:ind w:right="442"/>
        <w:jc w:val="both"/>
        <w:textAlignment w:val="auto"/>
        <w:rPr>
          <w:rFonts w:ascii="Times New Roman" w:eastAsia="Arial Unicode MS" w:hAnsi="Times New Roman"/>
          <w:szCs w:val="24"/>
        </w:rPr>
      </w:pPr>
      <w:r w:rsidRPr="003B6B23">
        <w:rPr>
          <w:rFonts w:ascii="Times New Roman" w:eastAsia="Arial Unicode MS" w:hAnsi="Times New Roman"/>
          <w:szCs w:val="24"/>
        </w:rPr>
        <w:t>The MARYLAND COURT</w:t>
      </w:r>
      <w:r w:rsidR="00905EAA">
        <w:rPr>
          <w:rFonts w:ascii="Times New Roman" w:eastAsia="Arial Unicode MS" w:hAnsi="Times New Roman"/>
          <w:szCs w:val="24"/>
        </w:rPr>
        <w:t>’s</w:t>
      </w:r>
      <w:r w:rsidRPr="003B6B23">
        <w:rPr>
          <w:rFonts w:ascii="Times New Roman" w:eastAsia="Arial Unicode MS" w:hAnsi="Times New Roman"/>
          <w:szCs w:val="24"/>
        </w:rPr>
        <w:t xml:space="preserve"> OF APPEALS decision </w:t>
      </w:r>
      <w:r w:rsidR="009D7802">
        <w:rPr>
          <w:rFonts w:ascii="Times New Roman" w:eastAsia="Arial Unicode MS" w:hAnsi="Times New Roman"/>
          <w:szCs w:val="24"/>
        </w:rPr>
        <w:t>conflicts with principles of state sovereignty</w:t>
      </w:r>
    </w:p>
    <w:p w:rsidR="003B6B23" w:rsidRPr="003B6B23" w:rsidRDefault="003B6B23" w:rsidP="003B6B23">
      <w:pPr>
        <w:pStyle w:val="Single"/>
        <w:rPr>
          <w:szCs w:val="24"/>
        </w:rPr>
      </w:pPr>
    </w:p>
    <w:p w:rsidR="00E630BD" w:rsidRPr="007959EB" w:rsidRDefault="003B6B23" w:rsidP="00737BC4">
      <w:pPr>
        <w:pStyle w:val="SingleBlock"/>
        <w:jc w:val="left"/>
        <w:rPr>
          <w:rFonts w:ascii="Times New Roman" w:hAnsi="Times New Roman"/>
          <w:b/>
          <w:szCs w:val="24"/>
        </w:rPr>
      </w:pPr>
      <w:r>
        <w:rPr>
          <w:rFonts w:ascii="Times New Roman" w:hAnsi="Times New Roman"/>
          <w:b/>
          <w:szCs w:val="24"/>
        </w:rPr>
        <w:t>CONCLUSION………………………………………..     10</w:t>
      </w:r>
    </w:p>
    <w:p w:rsidR="007E1112" w:rsidRDefault="007E1112" w:rsidP="007E1112">
      <w:pPr>
        <w:pStyle w:val="SingleCenter"/>
        <w:rPr>
          <w:rFonts w:ascii="Times New Roman" w:hAnsi="Times New Roman"/>
        </w:rPr>
      </w:pPr>
    </w:p>
    <w:p w:rsidR="005F04CE" w:rsidRPr="005F04CE" w:rsidRDefault="005F04CE" w:rsidP="005F04CE">
      <w:pPr>
        <w:pStyle w:val="Single"/>
        <w:jc w:val="left"/>
        <w:sectPr w:rsidR="005F04CE" w:rsidRPr="005F04CE" w:rsidSect="00A168E2">
          <w:headerReference w:type="default" r:id="rId15"/>
          <w:headerReference w:type="first" r:id="rId16"/>
          <w:footerReference w:type="first" r:id="rId17"/>
          <w:pgSz w:w="12240" w:h="15840" w:code="1"/>
          <w:pgMar w:top="2794" w:right="3154" w:bottom="2794" w:left="3154" w:header="1786" w:footer="576" w:gutter="0"/>
          <w:pgNumType w:fmt="lowerRoman" w:start="1"/>
          <w:cols w:space="720"/>
          <w:titlePg/>
        </w:sectPr>
      </w:pPr>
    </w:p>
    <w:p w:rsidR="008E7580" w:rsidRPr="007959EB" w:rsidRDefault="008E7580" w:rsidP="007E1112">
      <w:pPr>
        <w:pStyle w:val="Heading1"/>
        <w:numPr>
          <w:ilvl w:val="0"/>
          <w:numId w:val="2"/>
        </w:numPr>
        <w:rPr>
          <w:rFonts w:ascii="Times New Roman" w:hAnsi="Times New Roman"/>
        </w:rPr>
      </w:pPr>
      <w:bookmarkStart w:id="2" w:name="_Toc261007269"/>
    </w:p>
    <w:p w:rsidR="007E1112" w:rsidRPr="007959EB" w:rsidRDefault="007E1112" w:rsidP="007E1112">
      <w:pPr>
        <w:pStyle w:val="Heading1"/>
        <w:numPr>
          <w:ilvl w:val="0"/>
          <w:numId w:val="2"/>
        </w:numPr>
        <w:rPr>
          <w:rFonts w:ascii="Times New Roman" w:hAnsi="Times New Roman"/>
        </w:rPr>
      </w:pPr>
      <w:r w:rsidRPr="007959EB">
        <w:rPr>
          <w:rFonts w:ascii="Times New Roman" w:hAnsi="Times New Roman"/>
        </w:rPr>
        <w:t>TABLE OF AUTHORITIES</w:t>
      </w:r>
      <w:bookmarkEnd w:id="2"/>
    </w:p>
    <w:p w:rsidR="007E1112" w:rsidRPr="007959EB" w:rsidRDefault="007E1112" w:rsidP="007E1112">
      <w:pPr>
        <w:pStyle w:val="SingleBlock"/>
        <w:tabs>
          <w:tab w:val="right" w:pos="5940"/>
        </w:tabs>
        <w:spacing w:before="120" w:after="0"/>
        <w:jc w:val="right"/>
        <w:rPr>
          <w:rFonts w:ascii="Times New Roman" w:hAnsi="Times New Roman"/>
          <w:b/>
        </w:rPr>
      </w:pPr>
      <w:r w:rsidRPr="007959EB">
        <w:rPr>
          <w:rFonts w:ascii="Times New Roman" w:hAnsi="Times New Roman"/>
          <w:b/>
        </w:rPr>
        <w:t>Page(s)</w:t>
      </w:r>
    </w:p>
    <w:p w:rsidR="007E1112" w:rsidRPr="007959EB" w:rsidRDefault="007E1112" w:rsidP="007E1112">
      <w:pPr>
        <w:pStyle w:val="TOAHeading"/>
        <w:tabs>
          <w:tab w:val="right" w:leader="dot" w:pos="5922"/>
        </w:tabs>
        <w:spacing w:line="280" w:lineRule="exact"/>
        <w:rPr>
          <w:rFonts w:ascii="Times New Roman" w:hAnsi="Times New Roman" w:cs="Times New Roman"/>
          <w:b w:val="0"/>
          <w:bCs w:val="0"/>
          <w:noProof/>
        </w:rPr>
      </w:pPr>
      <w:r w:rsidRPr="007959EB">
        <w:rPr>
          <w:rFonts w:ascii="Times New Roman" w:hAnsi="Times New Roman" w:cs="Times New Roman"/>
          <w:noProof/>
        </w:rPr>
        <w:t>CASES</w:t>
      </w:r>
    </w:p>
    <w:p w:rsidR="007E1112" w:rsidRPr="007959EB" w:rsidRDefault="007E1112" w:rsidP="007E1112">
      <w:pPr>
        <w:pStyle w:val="TableofAuthorities"/>
        <w:tabs>
          <w:tab w:val="clear" w:pos="5932"/>
          <w:tab w:val="right" w:leader="dot" w:pos="5922"/>
        </w:tabs>
        <w:spacing w:before="120" w:line="280" w:lineRule="exact"/>
        <w:rPr>
          <w:rFonts w:ascii="Times New Roman" w:hAnsi="Times New Roman"/>
          <w:i/>
          <w:noProof/>
          <w:szCs w:val="24"/>
        </w:rPr>
      </w:pPr>
    </w:p>
    <w:p w:rsidR="007E1112" w:rsidRPr="007959EB" w:rsidRDefault="007E1112" w:rsidP="007E1112">
      <w:pPr>
        <w:pStyle w:val="TOAHeading"/>
        <w:tabs>
          <w:tab w:val="right" w:leader="dot" w:pos="5922"/>
        </w:tabs>
        <w:spacing w:line="280" w:lineRule="exact"/>
        <w:rPr>
          <w:rFonts w:ascii="Times New Roman" w:hAnsi="Times New Roman" w:cs="Times New Roman"/>
          <w:b w:val="0"/>
          <w:bCs w:val="0"/>
          <w:noProof/>
        </w:rPr>
      </w:pPr>
      <w:r w:rsidRPr="007959EB">
        <w:rPr>
          <w:rFonts w:ascii="Times New Roman" w:hAnsi="Times New Roman" w:cs="Times New Roman"/>
          <w:noProof/>
        </w:rPr>
        <w:t>STATUTES</w:t>
      </w:r>
    </w:p>
    <w:p w:rsidR="007E1112" w:rsidRPr="00F13E6E" w:rsidRDefault="007E1112" w:rsidP="007E1112">
      <w:pPr>
        <w:pStyle w:val="TableofAuthorities"/>
        <w:tabs>
          <w:tab w:val="clear" w:pos="5932"/>
          <w:tab w:val="right" w:leader="dot" w:pos="5922"/>
        </w:tabs>
        <w:spacing w:before="120" w:line="280" w:lineRule="exact"/>
        <w:rPr>
          <w:noProof/>
          <w:szCs w:val="24"/>
        </w:rPr>
      </w:pPr>
    </w:p>
    <w:bookmarkEnd w:id="1"/>
    <w:p w:rsidR="005F04CE" w:rsidRDefault="005F04CE" w:rsidP="00B274B4">
      <w:pPr>
        <w:pStyle w:val="Heading1"/>
        <w:keepLines w:val="0"/>
        <w:overflowPunct/>
        <w:autoSpaceDE/>
        <w:autoSpaceDN/>
        <w:adjustRightInd/>
        <w:spacing w:after="0" w:line="276" w:lineRule="auto"/>
        <w:ind w:right="-8"/>
        <w:textAlignment w:val="auto"/>
        <w:rPr>
          <w:rFonts w:ascii="Times New Roman" w:hAnsi="Times New Roman"/>
          <w:szCs w:val="24"/>
        </w:rPr>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Default="00BB45DB" w:rsidP="00BB45DB">
      <w:pPr>
        <w:pStyle w:val="Single"/>
      </w:pPr>
    </w:p>
    <w:p w:rsidR="00BB45DB" w:rsidRPr="00BB45DB" w:rsidRDefault="00BB45DB" w:rsidP="00BB45DB">
      <w:pPr>
        <w:pStyle w:val="Single"/>
      </w:pPr>
    </w:p>
    <w:p w:rsidR="007E1112" w:rsidRPr="006C39CA" w:rsidRDefault="007E1112" w:rsidP="00B274B4">
      <w:pPr>
        <w:pStyle w:val="Heading1"/>
        <w:keepLines w:val="0"/>
        <w:overflowPunct/>
        <w:autoSpaceDE/>
        <w:autoSpaceDN/>
        <w:adjustRightInd/>
        <w:spacing w:after="0" w:line="276" w:lineRule="auto"/>
        <w:ind w:right="-8"/>
        <w:textAlignment w:val="auto"/>
        <w:rPr>
          <w:rFonts w:ascii="Times New Roman" w:hAnsi="Times New Roman"/>
          <w:szCs w:val="24"/>
        </w:rPr>
      </w:pPr>
      <w:r w:rsidRPr="006C39CA">
        <w:rPr>
          <w:rFonts w:ascii="Times New Roman" w:hAnsi="Times New Roman"/>
          <w:szCs w:val="24"/>
        </w:rPr>
        <w:lastRenderedPageBreak/>
        <w:t>INTEREST OF AMICUS CURIAE</w:t>
      </w:r>
      <w:r w:rsidR="00BB45DB">
        <w:rPr>
          <w:rStyle w:val="FootnoteReference"/>
          <w:rFonts w:ascii="Times New Roman" w:hAnsi="Times New Roman"/>
          <w:szCs w:val="24"/>
        </w:rPr>
        <w:footnoteReference w:id="1"/>
      </w:r>
    </w:p>
    <w:p w:rsidR="00A606A9" w:rsidRPr="0034141A" w:rsidRDefault="007E1112" w:rsidP="00EB5845">
      <w:pPr>
        <w:pStyle w:val="Single"/>
        <w:spacing w:before="120" w:after="0" w:line="240" w:lineRule="auto"/>
        <w:ind w:firstLine="0"/>
        <w:rPr>
          <w:rFonts w:ascii="Times New Roman" w:eastAsia="Arial Unicode MS" w:hAnsi="Times New Roman"/>
          <w:sz w:val="28"/>
          <w:szCs w:val="28"/>
        </w:rPr>
      </w:pPr>
      <w:r w:rsidRPr="006C39CA">
        <w:rPr>
          <w:rFonts w:ascii="Times New Roman" w:eastAsia="Arial Unicode MS" w:hAnsi="Times New Roman"/>
          <w:szCs w:val="24"/>
        </w:rPr>
        <w:tab/>
      </w:r>
      <w:r w:rsidRPr="0034141A">
        <w:rPr>
          <w:rFonts w:ascii="Times New Roman" w:eastAsia="Arial Unicode MS" w:hAnsi="Times New Roman"/>
          <w:sz w:val="28"/>
          <w:szCs w:val="28"/>
        </w:rPr>
        <w:t xml:space="preserve">The International Municipal Lawyers Association (IMLA) is a non-profit, </w:t>
      </w:r>
      <w:r w:rsidR="008E7580" w:rsidRPr="0034141A">
        <w:rPr>
          <w:rFonts w:ascii="Times New Roman" w:eastAsia="Arial Unicode MS" w:hAnsi="Times New Roman"/>
          <w:sz w:val="28"/>
          <w:szCs w:val="28"/>
        </w:rPr>
        <w:t xml:space="preserve">nonpartisan </w:t>
      </w:r>
      <w:r w:rsidRPr="0034141A">
        <w:rPr>
          <w:rFonts w:ascii="Times New Roman" w:eastAsia="Arial Unicode MS" w:hAnsi="Times New Roman"/>
          <w:sz w:val="28"/>
          <w:szCs w:val="28"/>
        </w:rPr>
        <w:t xml:space="preserve">professional organization </w:t>
      </w:r>
      <w:r w:rsidR="008E7580" w:rsidRPr="0034141A">
        <w:rPr>
          <w:rFonts w:ascii="Times New Roman" w:eastAsia="Arial Unicode MS" w:hAnsi="Times New Roman"/>
          <w:sz w:val="28"/>
          <w:szCs w:val="28"/>
        </w:rPr>
        <w:t xml:space="preserve">consisting of more than </w:t>
      </w:r>
      <w:r w:rsidR="00DC38DE">
        <w:rPr>
          <w:rFonts w:ascii="Times New Roman" w:eastAsia="Arial Unicode MS" w:hAnsi="Times New Roman"/>
          <w:sz w:val="28"/>
          <w:szCs w:val="28"/>
        </w:rPr>
        <w:t>2</w:t>
      </w:r>
      <w:r w:rsidR="008E7580" w:rsidRPr="0034141A">
        <w:rPr>
          <w:rFonts w:ascii="Times New Roman" w:eastAsia="Arial Unicode MS" w:hAnsi="Times New Roman"/>
          <w:sz w:val="28"/>
          <w:szCs w:val="28"/>
        </w:rPr>
        <w:t xml:space="preserve">500 members.  The membership is comprised of local government entities, including cities, counties and subdivisions thereof, as represented by their chief legal officers, state municipal leagues, and individual attorneys.  IMLA serves as an international clearinghouse of legal information and cooperation on municipal legal matters.  Established in </w:t>
      </w:r>
      <w:r w:rsidR="00A606A9" w:rsidRPr="0034141A">
        <w:rPr>
          <w:rFonts w:ascii="Times New Roman" w:eastAsia="Arial Unicode MS" w:hAnsi="Times New Roman"/>
          <w:sz w:val="28"/>
          <w:szCs w:val="28"/>
        </w:rPr>
        <w:t xml:space="preserve">1935, IMLA is the oldest and largest association of attorneys representing United States municipalities, counties and special districts. </w:t>
      </w:r>
    </w:p>
    <w:p w:rsidR="007E1112" w:rsidRPr="0034141A" w:rsidRDefault="00A606A9" w:rsidP="00EB5845">
      <w:pPr>
        <w:pStyle w:val="Single"/>
        <w:spacing w:before="100" w:beforeAutospacing="1" w:after="0" w:line="240" w:lineRule="auto"/>
        <w:ind w:firstLine="0"/>
        <w:rPr>
          <w:rFonts w:ascii="Times New Roman" w:eastAsia="Arial Unicode MS" w:hAnsi="Times New Roman"/>
          <w:sz w:val="28"/>
          <w:szCs w:val="28"/>
        </w:rPr>
      </w:pPr>
      <w:r w:rsidRPr="0034141A">
        <w:rPr>
          <w:rFonts w:ascii="Times New Roman" w:eastAsia="Arial Unicode MS" w:hAnsi="Times New Roman"/>
          <w:sz w:val="28"/>
          <w:szCs w:val="28"/>
        </w:rPr>
        <w:tab/>
        <w:t xml:space="preserve">IMLA’s mission is to advance the responsible development of municipal law through education and advocacy by providing the collective viewpoint of local governments around the country on legal issues before the United States Supreme Court, the Unites States Courts of Appeals, and in state supreme and appellate courts. </w:t>
      </w:r>
    </w:p>
    <w:p w:rsidR="00DC38DE" w:rsidRDefault="00A606A9" w:rsidP="00EB5845">
      <w:pPr>
        <w:pStyle w:val="Single"/>
        <w:spacing w:before="100" w:beforeAutospacing="1" w:after="0" w:line="240" w:lineRule="auto"/>
        <w:rPr>
          <w:rFonts w:ascii="Times New Roman" w:eastAsia="Arial Unicode MS" w:hAnsi="Times New Roman"/>
          <w:sz w:val="28"/>
          <w:szCs w:val="28"/>
        </w:rPr>
      </w:pPr>
      <w:r w:rsidRPr="0034141A">
        <w:rPr>
          <w:rFonts w:ascii="Times New Roman" w:eastAsia="Arial Unicode MS" w:hAnsi="Times New Roman"/>
          <w:sz w:val="28"/>
          <w:szCs w:val="28"/>
        </w:rPr>
        <w:tab/>
      </w:r>
      <w:r w:rsidR="00FF2ECC" w:rsidRPr="0034141A">
        <w:rPr>
          <w:rFonts w:ascii="Times New Roman" w:eastAsia="Arial Unicode MS" w:hAnsi="Times New Roman"/>
          <w:sz w:val="28"/>
          <w:szCs w:val="28"/>
        </w:rPr>
        <w:t xml:space="preserve">IMLA respectfully submits this brief </w:t>
      </w:r>
      <w:r w:rsidR="00343AC9" w:rsidRPr="0034141A">
        <w:rPr>
          <w:rFonts w:ascii="Times New Roman" w:eastAsia="Arial Unicode MS" w:hAnsi="Times New Roman"/>
          <w:sz w:val="28"/>
          <w:szCs w:val="28"/>
        </w:rPr>
        <w:t xml:space="preserve">on behalf of the </w:t>
      </w:r>
      <w:r w:rsidR="004407CA">
        <w:rPr>
          <w:rFonts w:ascii="Times New Roman" w:eastAsia="Arial Unicode MS" w:hAnsi="Times New Roman"/>
          <w:sz w:val="28"/>
          <w:szCs w:val="28"/>
        </w:rPr>
        <w:t>thousands of</w:t>
      </w:r>
      <w:r w:rsidR="004407CA" w:rsidRPr="0034141A">
        <w:rPr>
          <w:rFonts w:ascii="Times New Roman" w:eastAsia="Arial Unicode MS" w:hAnsi="Times New Roman"/>
          <w:sz w:val="28"/>
          <w:szCs w:val="28"/>
        </w:rPr>
        <w:t xml:space="preserve"> </w:t>
      </w:r>
      <w:r w:rsidR="00343AC9" w:rsidRPr="0034141A">
        <w:rPr>
          <w:rFonts w:ascii="Times New Roman" w:eastAsia="Arial Unicode MS" w:hAnsi="Times New Roman"/>
          <w:sz w:val="28"/>
          <w:szCs w:val="28"/>
        </w:rPr>
        <w:t xml:space="preserve">state subdivisions—counties, cities, townships and other municipalities—that </w:t>
      </w:r>
      <w:r w:rsidR="00DC38DE">
        <w:rPr>
          <w:rFonts w:ascii="Times New Roman" w:eastAsia="Arial Unicode MS" w:hAnsi="Times New Roman"/>
          <w:sz w:val="28"/>
          <w:szCs w:val="28"/>
        </w:rPr>
        <w:t xml:space="preserve">operate under our system of federalism to </w:t>
      </w:r>
      <w:r w:rsidR="00343AC9" w:rsidRPr="0034141A">
        <w:rPr>
          <w:rFonts w:ascii="Times New Roman" w:eastAsia="Arial Unicode MS" w:hAnsi="Times New Roman"/>
          <w:sz w:val="28"/>
          <w:szCs w:val="28"/>
        </w:rPr>
        <w:t xml:space="preserve">collect </w:t>
      </w:r>
      <w:r w:rsidR="003F57FB" w:rsidRPr="0034141A">
        <w:rPr>
          <w:rFonts w:ascii="Times New Roman" w:eastAsia="Arial Unicode MS" w:hAnsi="Times New Roman"/>
          <w:sz w:val="28"/>
          <w:szCs w:val="28"/>
        </w:rPr>
        <w:t xml:space="preserve">local </w:t>
      </w:r>
      <w:r w:rsidR="00343AC9" w:rsidRPr="0034141A">
        <w:rPr>
          <w:rFonts w:ascii="Times New Roman" w:eastAsia="Arial Unicode MS" w:hAnsi="Times New Roman"/>
          <w:sz w:val="28"/>
          <w:szCs w:val="28"/>
        </w:rPr>
        <w:t xml:space="preserve">income taxes </w:t>
      </w:r>
      <w:r w:rsidR="003F57FB" w:rsidRPr="0034141A">
        <w:rPr>
          <w:rFonts w:ascii="Times New Roman" w:eastAsia="Arial Unicode MS" w:hAnsi="Times New Roman"/>
          <w:sz w:val="28"/>
          <w:szCs w:val="28"/>
        </w:rPr>
        <w:t>t</w:t>
      </w:r>
      <w:r w:rsidR="00DC38DE">
        <w:rPr>
          <w:rFonts w:ascii="Times New Roman" w:eastAsia="Arial Unicode MS" w:hAnsi="Times New Roman"/>
          <w:sz w:val="28"/>
          <w:szCs w:val="28"/>
        </w:rPr>
        <w:t>hat</w:t>
      </w:r>
      <w:r w:rsidR="003F57FB" w:rsidRPr="0034141A">
        <w:rPr>
          <w:rFonts w:ascii="Times New Roman" w:eastAsia="Arial Unicode MS" w:hAnsi="Times New Roman"/>
          <w:sz w:val="28"/>
          <w:szCs w:val="28"/>
        </w:rPr>
        <w:t xml:space="preserve"> fund their provision of vital services to residents.  The </w:t>
      </w:r>
      <w:r w:rsidR="008A5B3A" w:rsidRPr="0034141A">
        <w:rPr>
          <w:rFonts w:ascii="Times New Roman" w:eastAsia="Arial Unicode MS" w:hAnsi="Times New Roman"/>
          <w:sz w:val="28"/>
          <w:szCs w:val="28"/>
        </w:rPr>
        <w:t xml:space="preserve">implications of the </w:t>
      </w:r>
      <w:r w:rsidR="003F57FB" w:rsidRPr="0034141A">
        <w:rPr>
          <w:rFonts w:ascii="Times New Roman" w:eastAsia="Arial Unicode MS" w:hAnsi="Times New Roman"/>
          <w:sz w:val="28"/>
          <w:szCs w:val="28"/>
        </w:rPr>
        <w:t>Maryland Court of Appeals ruling</w:t>
      </w:r>
      <w:r w:rsidR="008A5B3A" w:rsidRPr="0034141A">
        <w:rPr>
          <w:rFonts w:ascii="Times New Roman" w:eastAsia="Arial Unicode MS" w:hAnsi="Times New Roman"/>
          <w:sz w:val="28"/>
          <w:szCs w:val="28"/>
        </w:rPr>
        <w:t xml:space="preserve"> for </w:t>
      </w:r>
      <w:r w:rsidR="008B15B2" w:rsidRPr="0034141A">
        <w:rPr>
          <w:rFonts w:ascii="Times New Roman" w:eastAsia="Arial Unicode MS" w:hAnsi="Times New Roman"/>
          <w:sz w:val="28"/>
          <w:szCs w:val="28"/>
        </w:rPr>
        <w:t xml:space="preserve">many of </w:t>
      </w:r>
      <w:r w:rsidR="008A5B3A" w:rsidRPr="0034141A">
        <w:rPr>
          <w:rFonts w:ascii="Times New Roman" w:eastAsia="Arial Unicode MS" w:hAnsi="Times New Roman"/>
          <w:sz w:val="28"/>
          <w:szCs w:val="28"/>
        </w:rPr>
        <w:t>those municipalities is dire</w:t>
      </w:r>
      <w:r w:rsidR="008B15B2" w:rsidRPr="0034141A">
        <w:rPr>
          <w:rFonts w:ascii="Times New Roman" w:eastAsia="Arial Unicode MS" w:hAnsi="Times New Roman"/>
          <w:sz w:val="28"/>
          <w:szCs w:val="28"/>
        </w:rPr>
        <w:t xml:space="preserve">: if every state is required to accord its residents </w:t>
      </w:r>
      <w:r w:rsidR="004407CA">
        <w:rPr>
          <w:rFonts w:ascii="Times New Roman" w:eastAsia="Arial Unicode MS" w:hAnsi="Times New Roman"/>
          <w:sz w:val="28"/>
          <w:szCs w:val="28"/>
        </w:rPr>
        <w:t xml:space="preserve">a </w:t>
      </w:r>
      <w:r w:rsidR="008B15B2" w:rsidRPr="0034141A">
        <w:rPr>
          <w:rFonts w:ascii="Times New Roman" w:eastAsia="Arial Unicode MS" w:hAnsi="Times New Roman"/>
          <w:sz w:val="28"/>
          <w:szCs w:val="28"/>
        </w:rPr>
        <w:t xml:space="preserve">dollar-for-dollar credit for all income taxes paid </w:t>
      </w:r>
      <w:r w:rsidR="009261C4" w:rsidRPr="0034141A">
        <w:rPr>
          <w:rFonts w:ascii="Times New Roman" w:eastAsia="Arial Unicode MS" w:hAnsi="Times New Roman"/>
          <w:sz w:val="28"/>
          <w:szCs w:val="28"/>
        </w:rPr>
        <w:t xml:space="preserve">to </w:t>
      </w:r>
      <w:r w:rsidR="008B15B2" w:rsidRPr="0034141A">
        <w:rPr>
          <w:rFonts w:ascii="Times New Roman" w:eastAsia="Arial Unicode MS" w:hAnsi="Times New Roman"/>
          <w:sz w:val="28"/>
          <w:szCs w:val="28"/>
        </w:rPr>
        <w:t xml:space="preserve">out of state </w:t>
      </w:r>
      <w:r w:rsidR="009261C4" w:rsidRPr="0034141A">
        <w:rPr>
          <w:rFonts w:ascii="Times New Roman" w:eastAsia="Arial Unicode MS" w:hAnsi="Times New Roman"/>
          <w:sz w:val="28"/>
          <w:szCs w:val="28"/>
        </w:rPr>
        <w:t xml:space="preserve">recipients </w:t>
      </w:r>
      <w:r w:rsidR="008B15B2" w:rsidRPr="0034141A">
        <w:rPr>
          <w:rFonts w:ascii="Times New Roman" w:eastAsia="Arial Unicode MS" w:hAnsi="Times New Roman"/>
          <w:sz w:val="28"/>
          <w:szCs w:val="28"/>
        </w:rPr>
        <w:t>(including count</w:t>
      </w:r>
      <w:r w:rsidR="009261C4" w:rsidRPr="0034141A">
        <w:rPr>
          <w:rFonts w:ascii="Times New Roman" w:eastAsia="Arial Unicode MS" w:hAnsi="Times New Roman"/>
          <w:sz w:val="28"/>
          <w:szCs w:val="28"/>
        </w:rPr>
        <w:t xml:space="preserve">ies and cities </w:t>
      </w:r>
      <w:r w:rsidR="008B15B2" w:rsidRPr="0034141A">
        <w:rPr>
          <w:rFonts w:ascii="Times New Roman" w:eastAsia="Arial Unicode MS" w:hAnsi="Times New Roman"/>
          <w:sz w:val="28"/>
          <w:szCs w:val="28"/>
        </w:rPr>
        <w:t xml:space="preserve">in other states), the flow of funds </w:t>
      </w:r>
      <w:r w:rsidR="002A132A" w:rsidRPr="0034141A">
        <w:rPr>
          <w:rFonts w:ascii="Times New Roman" w:eastAsia="Arial Unicode MS" w:hAnsi="Times New Roman"/>
          <w:sz w:val="28"/>
          <w:szCs w:val="28"/>
        </w:rPr>
        <w:t xml:space="preserve">to in-state municipalities </w:t>
      </w:r>
      <w:r w:rsidR="008B15B2" w:rsidRPr="0034141A">
        <w:rPr>
          <w:rFonts w:ascii="Times New Roman" w:eastAsia="Arial Unicode MS" w:hAnsi="Times New Roman"/>
          <w:sz w:val="28"/>
          <w:szCs w:val="28"/>
        </w:rPr>
        <w:t>will be vastly curtaile</w:t>
      </w:r>
      <w:r w:rsidR="009261C4" w:rsidRPr="0034141A">
        <w:rPr>
          <w:rFonts w:ascii="Times New Roman" w:eastAsia="Arial Unicode MS" w:hAnsi="Times New Roman"/>
          <w:sz w:val="28"/>
          <w:szCs w:val="28"/>
        </w:rPr>
        <w:t xml:space="preserve">d.  </w:t>
      </w:r>
      <w:r w:rsidR="002A132A" w:rsidRPr="0034141A">
        <w:rPr>
          <w:rFonts w:ascii="Times New Roman" w:eastAsia="Arial Unicode MS" w:hAnsi="Times New Roman"/>
          <w:sz w:val="28"/>
          <w:szCs w:val="28"/>
        </w:rPr>
        <w:t xml:space="preserve">There are many states with </w:t>
      </w:r>
      <w:r w:rsidR="00977416" w:rsidRPr="0034141A">
        <w:rPr>
          <w:rFonts w:ascii="Times New Roman" w:eastAsia="Arial Unicode MS" w:hAnsi="Times New Roman"/>
          <w:sz w:val="28"/>
          <w:szCs w:val="28"/>
        </w:rPr>
        <w:t>long-</w:t>
      </w:r>
      <w:r w:rsidR="00D36EC5">
        <w:rPr>
          <w:rFonts w:ascii="Times New Roman" w:eastAsia="Arial Unicode MS" w:hAnsi="Times New Roman"/>
          <w:sz w:val="28"/>
          <w:szCs w:val="28"/>
        </w:rPr>
        <w:t xml:space="preserve">established </w:t>
      </w:r>
      <w:r w:rsidR="002A132A" w:rsidRPr="0034141A">
        <w:rPr>
          <w:rFonts w:ascii="Times New Roman" w:eastAsia="Arial Unicode MS" w:hAnsi="Times New Roman"/>
          <w:sz w:val="28"/>
          <w:szCs w:val="28"/>
        </w:rPr>
        <w:t xml:space="preserve">tax </w:t>
      </w:r>
      <w:r w:rsidR="00030108" w:rsidRPr="0034141A">
        <w:rPr>
          <w:rFonts w:ascii="Times New Roman" w:eastAsia="Arial Unicode MS" w:hAnsi="Times New Roman"/>
          <w:sz w:val="28"/>
          <w:szCs w:val="28"/>
        </w:rPr>
        <w:t>programs</w:t>
      </w:r>
      <w:r w:rsidR="002A132A" w:rsidRPr="0034141A">
        <w:rPr>
          <w:rFonts w:ascii="Times New Roman" w:eastAsia="Arial Unicode MS" w:hAnsi="Times New Roman"/>
          <w:sz w:val="28"/>
          <w:szCs w:val="28"/>
        </w:rPr>
        <w:t xml:space="preserve"> that, like Maryland</w:t>
      </w:r>
      <w:r w:rsidR="00977416" w:rsidRPr="0034141A">
        <w:rPr>
          <w:rFonts w:ascii="Times New Roman" w:eastAsia="Arial Unicode MS" w:hAnsi="Times New Roman"/>
          <w:sz w:val="28"/>
          <w:szCs w:val="28"/>
        </w:rPr>
        <w:t>’s</w:t>
      </w:r>
      <w:r w:rsidR="002A132A" w:rsidRPr="0034141A">
        <w:rPr>
          <w:rFonts w:ascii="Times New Roman" w:eastAsia="Arial Unicode MS" w:hAnsi="Times New Roman"/>
          <w:sz w:val="28"/>
          <w:szCs w:val="28"/>
        </w:rPr>
        <w:t xml:space="preserve">, do not afford dollar-for-dollar credits to residents for all </w:t>
      </w:r>
      <w:r w:rsidR="00977416" w:rsidRPr="0034141A">
        <w:rPr>
          <w:rFonts w:ascii="Times New Roman" w:eastAsia="Arial Unicode MS" w:hAnsi="Times New Roman"/>
          <w:sz w:val="28"/>
          <w:szCs w:val="28"/>
        </w:rPr>
        <w:t xml:space="preserve">out-of-state income taxes paid and are operating on a premise of constitutional viability. </w:t>
      </w:r>
      <w:r w:rsidR="009666B4" w:rsidRPr="0034141A">
        <w:rPr>
          <w:rFonts w:ascii="Times New Roman" w:eastAsia="Arial Unicode MS" w:hAnsi="Times New Roman"/>
          <w:sz w:val="28"/>
          <w:szCs w:val="28"/>
        </w:rPr>
        <w:t xml:space="preserve"> </w:t>
      </w:r>
    </w:p>
    <w:p w:rsidR="00D36EC5" w:rsidRPr="0034141A" w:rsidRDefault="00D36EC5" w:rsidP="00EB5845">
      <w:pPr>
        <w:pStyle w:val="Single"/>
        <w:spacing w:before="100" w:beforeAutospacing="1" w:after="0" w:line="240" w:lineRule="auto"/>
        <w:rPr>
          <w:rFonts w:ascii="Times New Roman" w:eastAsia="Arial Unicode MS" w:hAnsi="Times New Roman"/>
          <w:sz w:val="28"/>
          <w:szCs w:val="28"/>
        </w:rPr>
      </w:pPr>
      <w:r w:rsidRPr="0034141A">
        <w:rPr>
          <w:rFonts w:ascii="Times New Roman" w:eastAsia="Arial Unicode MS" w:hAnsi="Times New Roman"/>
          <w:sz w:val="28"/>
          <w:szCs w:val="28"/>
        </w:rPr>
        <w:t>The constitutional princip</w:t>
      </w:r>
      <w:r w:rsidR="00905EAA">
        <w:rPr>
          <w:rFonts w:ascii="Times New Roman" w:eastAsia="Arial Unicode MS" w:hAnsi="Times New Roman"/>
          <w:sz w:val="28"/>
          <w:szCs w:val="28"/>
        </w:rPr>
        <w:t>le</w:t>
      </w:r>
      <w:r w:rsidRPr="0034141A">
        <w:rPr>
          <w:rFonts w:ascii="Times New Roman" w:eastAsia="Arial Unicode MS" w:hAnsi="Times New Roman"/>
          <w:sz w:val="28"/>
          <w:szCs w:val="28"/>
        </w:rPr>
        <w:t xml:space="preserve"> relied on to produce th</w:t>
      </w:r>
      <w:r>
        <w:rPr>
          <w:rFonts w:ascii="Times New Roman" w:eastAsia="Arial Unicode MS" w:hAnsi="Times New Roman"/>
          <w:sz w:val="28"/>
          <w:szCs w:val="28"/>
        </w:rPr>
        <w:t xml:space="preserve">e Court of Appeals’ </w:t>
      </w:r>
      <w:r w:rsidRPr="0034141A">
        <w:rPr>
          <w:rFonts w:ascii="Times New Roman" w:eastAsia="Arial Unicode MS" w:hAnsi="Times New Roman"/>
          <w:sz w:val="28"/>
          <w:szCs w:val="28"/>
        </w:rPr>
        <w:t>decision—the dormant Commerce Clause—is not the bright-line mandate discerned by th</w:t>
      </w:r>
      <w:r w:rsidR="00885FCF">
        <w:rPr>
          <w:rFonts w:ascii="Times New Roman" w:eastAsia="Arial Unicode MS" w:hAnsi="Times New Roman"/>
          <w:sz w:val="28"/>
          <w:szCs w:val="28"/>
        </w:rPr>
        <w:t>at court.</w:t>
      </w:r>
      <w:r w:rsidRPr="0034141A">
        <w:rPr>
          <w:rFonts w:ascii="Times New Roman" w:eastAsia="Arial Unicode MS" w:hAnsi="Times New Roman"/>
          <w:sz w:val="28"/>
          <w:szCs w:val="28"/>
        </w:rPr>
        <w:t xml:space="preserve">  There are numerous precedents counseling a different result and factual nuances defying doctrinal answers.</w:t>
      </w:r>
    </w:p>
    <w:p w:rsidR="00FF2ECC" w:rsidRPr="0034141A" w:rsidRDefault="002A132A" w:rsidP="00EB5845">
      <w:pPr>
        <w:pStyle w:val="Single"/>
        <w:spacing w:before="100" w:beforeAutospacing="1" w:after="0" w:line="240" w:lineRule="auto"/>
        <w:rPr>
          <w:rFonts w:ascii="Times New Roman" w:eastAsia="Arial Unicode MS" w:hAnsi="Times New Roman"/>
          <w:sz w:val="28"/>
          <w:szCs w:val="28"/>
        </w:rPr>
      </w:pPr>
      <w:r w:rsidRPr="0034141A">
        <w:rPr>
          <w:rFonts w:ascii="Times New Roman" w:eastAsia="Arial Unicode MS" w:hAnsi="Times New Roman"/>
          <w:sz w:val="28"/>
          <w:szCs w:val="28"/>
        </w:rPr>
        <w:t xml:space="preserve"> </w:t>
      </w:r>
      <w:r w:rsidR="00977416" w:rsidRPr="0034141A">
        <w:rPr>
          <w:rFonts w:ascii="Times New Roman" w:eastAsia="Arial Unicode MS" w:hAnsi="Times New Roman"/>
          <w:sz w:val="28"/>
          <w:szCs w:val="28"/>
        </w:rPr>
        <w:t>The issue at hand</w:t>
      </w:r>
      <w:r w:rsidR="00DC38DE">
        <w:rPr>
          <w:rFonts w:ascii="Times New Roman" w:eastAsia="Arial Unicode MS" w:hAnsi="Times New Roman"/>
          <w:sz w:val="28"/>
          <w:szCs w:val="28"/>
        </w:rPr>
        <w:t xml:space="preserve"> also involves a conflict between a most basic principle of state sovereignty – the right of a state to tax a person resident within its boundaries, </w:t>
      </w:r>
      <w:r w:rsidR="00DC38DE">
        <w:rPr>
          <w:rFonts w:ascii="Times New Roman" w:eastAsia="Arial Unicode MS" w:hAnsi="Times New Roman"/>
          <w:sz w:val="28"/>
          <w:szCs w:val="28"/>
        </w:rPr>
        <w:lastRenderedPageBreak/>
        <w:t xml:space="preserve">which has been recognized throughout the history of this Court–and the unwritten, amorphous and arbitrary concept of “dormant” Commerce Clause jurisprudence. </w:t>
      </w:r>
    </w:p>
    <w:p w:rsidR="00FF2ECC" w:rsidRPr="0034141A" w:rsidRDefault="00030108" w:rsidP="00EB5845">
      <w:pPr>
        <w:pStyle w:val="Single"/>
        <w:spacing w:before="100" w:beforeAutospacing="1" w:after="0" w:line="240" w:lineRule="auto"/>
        <w:jc w:val="center"/>
        <w:rPr>
          <w:rFonts w:ascii="Times New Roman" w:eastAsia="Arial Unicode MS" w:hAnsi="Times New Roman"/>
          <w:b/>
          <w:sz w:val="28"/>
          <w:szCs w:val="28"/>
        </w:rPr>
      </w:pPr>
      <w:r w:rsidRPr="0034141A">
        <w:rPr>
          <w:rFonts w:ascii="Times New Roman" w:eastAsia="Arial Unicode MS" w:hAnsi="Times New Roman"/>
          <w:b/>
          <w:sz w:val="28"/>
          <w:szCs w:val="28"/>
        </w:rPr>
        <w:t xml:space="preserve">SUMMARY OF </w:t>
      </w:r>
      <w:r w:rsidR="00FF2ECC" w:rsidRPr="0034141A">
        <w:rPr>
          <w:rFonts w:ascii="Times New Roman" w:eastAsia="Arial Unicode MS" w:hAnsi="Times New Roman"/>
          <w:b/>
          <w:sz w:val="28"/>
          <w:szCs w:val="28"/>
        </w:rPr>
        <w:t>A</w:t>
      </w:r>
      <w:r w:rsidRPr="0034141A">
        <w:rPr>
          <w:rFonts w:ascii="Times New Roman" w:eastAsia="Arial Unicode MS" w:hAnsi="Times New Roman"/>
          <w:b/>
          <w:sz w:val="28"/>
          <w:szCs w:val="28"/>
        </w:rPr>
        <w:t>RGUMENT</w:t>
      </w:r>
    </w:p>
    <w:p w:rsidR="00030108" w:rsidRPr="00EB5845" w:rsidRDefault="00030108" w:rsidP="00EB5845">
      <w:pPr>
        <w:spacing w:after="0" w:line="240" w:lineRule="auto"/>
        <w:jc w:val="both"/>
        <w:rPr>
          <w:rFonts w:ascii="Times New Roman" w:hAnsi="Times New Roman" w:cs="Times New Roman"/>
          <w:sz w:val="28"/>
          <w:szCs w:val="28"/>
        </w:rPr>
      </w:pPr>
      <w:r w:rsidRPr="0034141A">
        <w:rPr>
          <w:rFonts w:ascii="Times New Roman" w:hAnsi="Times New Roman" w:cs="Times New Roman"/>
          <w:b/>
          <w:sz w:val="28"/>
          <w:szCs w:val="28"/>
        </w:rPr>
        <w:tab/>
      </w:r>
      <w:r w:rsidR="00DC38DE" w:rsidRPr="00EB5845">
        <w:rPr>
          <w:rFonts w:ascii="Times New Roman" w:hAnsi="Times New Roman" w:cs="Times New Roman"/>
          <w:sz w:val="28"/>
          <w:szCs w:val="28"/>
        </w:rPr>
        <w:t xml:space="preserve">The Court should grant certiorari in this case because the Maryland Court of Appeals decision conflicts with other state court decisions and because this is an important issue of federalism that has not been authoritatively decided by this Court.  </w:t>
      </w:r>
      <w:r w:rsidR="00FF2ECC" w:rsidRPr="00EB5845">
        <w:rPr>
          <w:rFonts w:ascii="Times New Roman" w:hAnsi="Times New Roman" w:cs="Times New Roman"/>
          <w:sz w:val="28"/>
          <w:szCs w:val="28"/>
        </w:rPr>
        <w:t xml:space="preserve">This case </w:t>
      </w:r>
      <w:r w:rsidR="00E83FA9" w:rsidRPr="00EB5845">
        <w:rPr>
          <w:rFonts w:ascii="Times New Roman" w:hAnsi="Times New Roman" w:cs="Times New Roman"/>
          <w:sz w:val="28"/>
          <w:szCs w:val="28"/>
        </w:rPr>
        <w:t xml:space="preserve">places before the Court </w:t>
      </w:r>
      <w:r w:rsidR="00FF2ECC" w:rsidRPr="00EB5845">
        <w:rPr>
          <w:rFonts w:ascii="Times New Roman" w:hAnsi="Times New Roman" w:cs="Times New Roman"/>
          <w:sz w:val="28"/>
          <w:szCs w:val="28"/>
        </w:rPr>
        <w:t xml:space="preserve">the important question of whether a state may tax all the income of its residents, wherever earned, or whether it is constitutionally </w:t>
      </w:r>
      <w:r w:rsidR="004F6D24" w:rsidRPr="00EB5845">
        <w:rPr>
          <w:rFonts w:ascii="Times New Roman" w:hAnsi="Times New Roman" w:cs="Times New Roman"/>
          <w:sz w:val="28"/>
          <w:szCs w:val="28"/>
        </w:rPr>
        <w:t xml:space="preserve">mandated to </w:t>
      </w:r>
      <w:r w:rsidR="00FF2ECC" w:rsidRPr="00EB5845">
        <w:rPr>
          <w:rFonts w:ascii="Times New Roman" w:hAnsi="Times New Roman" w:cs="Times New Roman"/>
          <w:sz w:val="28"/>
          <w:szCs w:val="28"/>
        </w:rPr>
        <w:t xml:space="preserve">allow a dollar-for-dollar credit for all income taxes paid by those residents </w:t>
      </w:r>
      <w:r w:rsidRPr="00EB5845">
        <w:rPr>
          <w:rFonts w:ascii="Times New Roman" w:hAnsi="Times New Roman" w:cs="Times New Roman"/>
          <w:sz w:val="28"/>
          <w:szCs w:val="28"/>
        </w:rPr>
        <w:t>in</w:t>
      </w:r>
      <w:r w:rsidR="00FF2ECC" w:rsidRPr="00EB5845">
        <w:rPr>
          <w:rFonts w:ascii="Times New Roman" w:hAnsi="Times New Roman" w:cs="Times New Roman"/>
          <w:sz w:val="28"/>
          <w:szCs w:val="28"/>
        </w:rPr>
        <w:t xml:space="preserve"> other states. </w:t>
      </w:r>
    </w:p>
    <w:p w:rsidR="00FF2ECC" w:rsidRDefault="004F6D24" w:rsidP="00EB5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F2ECC" w:rsidRPr="0034141A">
        <w:rPr>
          <w:rFonts w:ascii="Times New Roman" w:hAnsi="Times New Roman" w:cs="Times New Roman"/>
          <w:sz w:val="28"/>
          <w:szCs w:val="28"/>
        </w:rPr>
        <w:t xml:space="preserve">At issue is the degree to which individual states may exercise their sovereign prerogative to raise revenues.  If the </w:t>
      </w:r>
      <w:r w:rsidR="0081175B" w:rsidRPr="0034141A">
        <w:rPr>
          <w:rFonts w:ascii="Times New Roman" w:hAnsi="Times New Roman" w:cs="Times New Roman"/>
          <w:sz w:val="28"/>
          <w:szCs w:val="28"/>
        </w:rPr>
        <w:t xml:space="preserve">Court of Appeals </w:t>
      </w:r>
      <w:r w:rsidR="00FF2ECC" w:rsidRPr="0034141A">
        <w:rPr>
          <w:rFonts w:ascii="Times New Roman" w:hAnsi="Times New Roman" w:cs="Times New Roman"/>
          <w:sz w:val="28"/>
          <w:szCs w:val="28"/>
        </w:rPr>
        <w:t xml:space="preserve">is correct, the dormant Commerce Clause requires that states and their subdivisions </w:t>
      </w:r>
      <w:r w:rsidR="002A2064" w:rsidRPr="0034141A">
        <w:rPr>
          <w:rFonts w:ascii="Times New Roman" w:hAnsi="Times New Roman" w:cs="Times New Roman"/>
          <w:sz w:val="28"/>
          <w:szCs w:val="28"/>
        </w:rPr>
        <w:t>re-write their tax codes</w:t>
      </w:r>
      <w:r w:rsidR="004407CA">
        <w:rPr>
          <w:rFonts w:ascii="Times New Roman" w:hAnsi="Times New Roman" w:cs="Times New Roman"/>
          <w:sz w:val="28"/>
          <w:szCs w:val="28"/>
        </w:rPr>
        <w:t xml:space="preserve"> </w:t>
      </w:r>
      <w:r w:rsidR="004F24A1">
        <w:rPr>
          <w:rFonts w:ascii="Times New Roman" w:hAnsi="Times New Roman" w:cs="Times New Roman"/>
          <w:sz w:val="28"/>
          <w:szCs w:val="28"/>
        </w:rPr>
        <w:t xml:space="preserve">and </w:t>
      </w:r>
      <w:r w:rsidR="00EB6EB6">
        <w:rPr>
          <w:rFonts w:ascii="Times New Roman" w:hAnsi="Times New Roman" w:cs="Times New Roman"/>
          <w:sz w:val="28"/>
          <w:szCs w:val="28"/>
        </w:rPr>
        <w:t xml:space="preserve">continue to </w:t>
      </w:r>
      <w:r w:rsidR="00FF2ECC" w:rsidRPr="0034141A">
        <w:rPr>
          <w:rFonts w:ascii="Times New Roman" w:hAnsi="Times New Roman" w:cs="Times New Roman"/>
          <w:sz w:val="28"/>
          <w:szCs w:val="28"/>
        </w:rPr>
        <w:t>provide essential services to residents who may pay little or nothing for th</w:t>
      </w:r>
      <w:r w:rsidR="002A2064" w:rsidRPr="0034141A">
        <w:rPr>
          <w:rFonts w:ascii="Times New Roman" w:hAnsi="Times New Roman" w:cs="Times New Roman"/>
          <w:sz w:val="28"/>
          <w:szCs w:val="28"/>
        </w:rPr>
        <w:t>em</w:t>
      </w:r>
      <w:r w:rsidR="00FF2ECC" w:rsidRPr="0034141A">
        <w:rPr>
          <w:rFonts w:ascii="Times New Roman" w:hAnsi="Times New Roman" w:cs="Times New Roman"/>
          <w:sz w:val="28"/>
          <w:szCs w:val="28"/>
        </w:rPr>
        <w:t>.</w:t>
      </w:r>
    </w:p>
    <w:p w:rsidR="00E83FA9" w:rsidRDefault="00E83FA9" w:rsidP="00EB5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Historically, this Court has recognized a State’s</w:t>
      </w:r>
      <w:r w:rsidR="00A744ED">
        <w:rPr>
          <w:rFonts w:ascii="Times New Roman" w:hAnsi="Times New Roman" w:cs="Times New Roman"/>
          <w:sz w:val="28"/>
          <w:szCs w:val="28"/>
        </w:rPr>
        <w:t xml:space="preserve"> unlimited</w:t>
      </w:r>
      <w:r>
        <w:rPr>
          <w:rFonts w:ascii="Times New Roman" w:hAnsi="Times New Roman" w:cs="Times New Roman"/>
          <w:sz w:val="28"/>
          <w:szCs w:val="28"/>
        </w:rPr>
        <w:t xml:space="preserve"> authority to tax its residents</w:t>
      </w:r>
      <w:r w:rsidR="00A744ED">
        <w:rPr>
          <w:rFonts w:ascii="Times New Roman" w:hAnsi="Times New Roman" w:cs="Times New Roman"/>
          <w:sz w:val="28"/>
          <w:szCs w:val="28"/>
        </w:rPr>
        <w:t xml:space="preserve"> provided the tax is on property within the state or on privileges enjoyed there</w:t>
      </w:r>
      <w:r>
        <w:rPr>
          <w:rFonts w:ascii="Times New Roman" w:hAnsi="Times New Roman" w:cs="Times New Roman"/>
          <w:sz w:val="28"/>
          <w:szCs w:val="28"/>
        </w:rPr>
        <w:t>.</w:t>
      </w:r>
      <w:r w:rsidR="00A744ED">
        <w:rPr>
          <w:rFonts w:ascii="Times New Roman" w:hAnsi="Times New Roman" w:cs="Times New Roman"/>
          <w:sz w:val="28"/>
          <w:szCs w:val="28"/>
        </w:rPr>
        <w:t xml:space="preserve"> </w:t>
      </w:r>
      <w:hyperlink r:id="rId18" w:tgtFrame="x" w:tooltip="Clicking this link retrieves the full text document in another window" w:history="1">
        <w:r w:rsidR="00A744ED" w:rsidRPr="00E83FA9">
          <w:rPr>
            <w:rFonts w:ascii="Times New Roman" w:hAnsi="Times New Roman" w:cs="Times New Roman"/>
            <w:i/>
            <w:color w:val="000000" w:themeColor="text1"/>
            <w:sz w:val="28"/>
            <w:szCs w:val="28"/>
          </w:rPr>
          <w:t>Lawrence v. State Tax Comm</w:t>
        </w:r>
        <w:r w:rsidR="00A744ED" w:rsidRPr="00E83FA9">
          <w:rPr>
            <w:rFonts w:ascii="Times New Roman" w:hAnsi="Times New Roman" w:cs="Times New Roman"/>
            <w:color w:val="000000" w:themeColor="text1"/>
            <w:sz w:val="28"/>
            <w:szCs w:val="28"/>
          </w:rPr>
          <w:t>., 286 U.S. 276, 279-280 (U.S. 1932)</w:t>
        </w:r>
      </w:hyperlink>
      <w:r w:rsidR="00A744ED">
        <w:rPr>
          <w:rFonts w:ascii="Times New Roman" w:hAnsi="Times New Roman" w:cs="Times New Roman"/>
          <w:color w:val="000000" w:themeColor="text1"/>
          <w:sz w:val="28"/>
          <w:szCs w:val="28"/>
        </w:rPr>
        <w:t>. No one can argue that the taxpayer in this case enjoyed limited privileges in his home county. In 2010, Money Magazine rated the Columbia/Ellicott City (Howard County’s main population center) the 2</w:t>
      </w:r>
      <w:r w:rsidR="00A744ED" w:rsidRPr="007E3112">
        <w:rPr>
          <w:rFonts w:ascii="Times New Roman" w:hAnsi="Times New Roman" w:cs="Times New Roman"/>
          <w:color w:val="000000" w:themeColor="text1"/>
          <w:sz w:val="28"/>
          <w:szCs w:val="28"/>
          <w:vertAlign w:val="superscript"/>
        </w:rPr>
        <w:t>nd</w:t>
      </w:r>
      <w:r w:rsidR="00A744ED">
        <w:rPr>
          <w:rFonts w:ascii="Times New Roman" w:hAnsi="Times New Roman" w:cs="Times New Roman"/>
          <w:color w:val="000000" w:themeColor="text1"/>
          <w:sz w:val="28"/>
          <w:szCs w:val="28"/>
        </w:rPr>
        <w:t xml:space="preserve"> best place to live in the United States.</w:t>
      </w:r>
      <w:r w:rsidR="00A744ED">
        <w:rPr>
          <w:rStyle w:val="FootnoteReference"/>
          <w:rFonts w:ascii="Times New Roman" w:hAnsi="Times New Roman"/>
          <w:color w:val="000000" w:themeColor="text1"/>
          <w:sz w:val="28"/>
          <w:szCs w:val="28"/>
        </w:rPr>
        <w:footnoteReference w:id="2"/>
      </w:r>
      <w:r w:rsidR="00A744ED">
        <w:rPr>
          <w:rFonts w:ascii="Times New Roman" w:hAnsi="Times New Roman" w:cs="Times New Roman"/>
          <w:color w:val="000000" w:themeColor="text1"/>
          <w:sz w:val="28"/>
          <w:szCs w:val="28"/>
        </w:rPr>
        <w:t xml:space="preserve"> </w:t>
      </w:r>
      <w:r w:rsidR="00144D44">
        <w:rPr>
          <w:rFonts w:ascii="Times New Roman" w:hAnsi="Times New Roman" w:cs="Times New Roman"/>
          <w:color w:val="000000" w:themeColor="text1"/>
          <w:sz w:val="28"/>
          <w:szCs w:val="28"/>
        </w:rPr>
        <w:t>The County’s library system ranks as one of the 5 best in the country and the County benefits from numerous other accolades for its services and its community.</w:t>
      </w:r>
      <w:r w:rsidR="00144D44">
        <w:rPr>
          <w:rStyle w:val="FootnoteReference"/>
          <w:rFonts w:ascii="Times New Roman" w:hAnsi="Times New Roman"/>
          <w:color w:val="000000" w:themeColor="text1"/>
          <w:sz w:val="28"/>
          <w:szCs w:val="28"/>
        </w:rPr>
        <w:footnoteReference w:id="3"/>
      </w:r>
      <w:r w:rsidR="00144D44">
        <w:rPr>
          <w:rFonts w:ascii="Times New Roman" w:hAnsi="Times New Roman" w:cs="Times New Roman"/>
          <w:color w:val="000000" w:themeColor="text1"/>
          <w:sz w:val="28"/>
          <w:szCs w:val="28"/>
        </w:rPr>
        <w:t xml:space="preserve"> These awards reflect the County’s commitment to excellence and its taxpayers’ willingness to spend money on services that achieve excellence. And, all of those revenues flow from the County’s multiple sources of tax revenues including its income tax.</w:t>
      </w:r>
    </w:p>
    <w:p w:rsidR="00E83FA9" w:rsidRDefault="0081175B" w:rsidP="00EB5845">
      <w:pPr>
        <w:spacing w:after="0" w:line="240" w:lineRule="auto"/>
        <w:jc w:val="both"/>
        <w:rPr>
          <w:rFonts w:ascii="Times New Roman" w:hAnsi="Times New Roman" w:cs="Times New Roman"/>
          <w:sz w:val="28"/>
          <w:szCs w:val="28"/>
        </w:rPr>
      </w:pPr>
      <w:r w:rsidRPr="0034141A">
        <w:rPr>
          <w:rFonts w:ascii="Times New Roman" w:hAnsi="Times New Roman" w:cs="Times New Roman"/>
          <w:sz w:val="28"/>
          <w:szCs w:val="28"/>
        </w:rPr>
        <w:tab/>
      </w:r>
    </w:p>
    <w:p w:rsidR="0081175B" w:rsidRDefault="00E83FA9" w:rsidP="00EB5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1175B" w:rsidRPr="0034141A">
        <w:rPr>
          <w:rFonts w:ascii="Times New Roman" w:hAnsi="Times New Roman" w:cs="Times New Roman"/>
          <w:sz w:val="28"/>
          <w:szCs w:val="28"/>
        </w:rPr>
        <w:t xml:space="preserve">The decision by the </w:t>
      </w:r>
      <w:r>
        <w:rPr>
          <w:rFonts w:ascii="Times New Roman" w:hAnsi="Times New Roman" w:cs="Times New Roman"/>
          <w:sz w:val="28"/>
          <w:szCs w:val="28"/>
        </w:rPr>
        <w:t xml:space="preserve">Maryland </w:t>
      </w:r>
      <w:r w:rsidR="0081175B" w:rsidRPr="0034141A">
        <w:rPr>
          <w:rFonts w:ascii="Times New Roman" w:hAnsi="Times New Roman" w:cs="Times New Roman"/>
          <w:sz w:val="28"/>
          <w:szCs w:val="28"/>
        </w:rPr>
        <w:t xml:space="preserve">Court of Appeals </w:t>
      </w:r>
      <w:r>
        <w:rPr>
          <w:rFonts w:ascii="Times New Roman" w:hAnsi="Times New Roman" w:cs="Times New Roman"/>
          <w:sz w:val="28"/>
          <w:szCs w:val="28"/>
        </w:rPr>
        <w:t xml:space="preserve">departs from this foundation and </w:t>
      </w:r>
      <w:r w:rsidR="00C96199">
        <w:rPr>
          <w:rFonts w:ascii="Times New Roman" w:hAnsi="Times New Roman" w:cs="Times New Roman"/>
          <w:sz w:val="28"/>
          <w:szCs w:val="28"/>
        </w:rPr>
        <w:t xml:space="preserve">it instead </w:t>
      </w:r>
      <w:r w:rsidR="006D7A6B">
        <w:rPr>
          <w:rFonts w:ascii="Times New Roman" w:hAnsi="Times New Roman" w:cs="Times New Roman"/>
          <w:sz w:val="28"/>
          <w:szCs w:val="28"/>
        </w:rPr>
        <w:t>bases its decision on</w:t>
      </w:r>
      <w:r>
        <w:rPr>
          <w:rFonts w:ascii="Times New Roman" w:hAnsi="Times New Roman" w:cs="Times New Roman"/>
          <w:sz w:val="28"/>
          <w:szCs w:val="28"/>
        </w:rPr>
        <w:t xml:space="preserve"> </w:t>
      </w:r>
      <w:r w:rsidR="00EB5845">
        <w:rPr>
          <w:rFonts w:ascii="Times New Roman" w:hAnsi="Times New Roman" w:cs="Times New Roman"/>
          <w:sz w:val="28"/>
          <w:szCs w:val="28"/>
        </w:rPr>
        <w:t xml:space="preserve">different </w:t>
      </w:r>
      <w:r w:rsidR="0081175B" w:rsidRPr="0034141A">
        <w:rPr>
          <w:rFonts w:ascii="Times New Roman" w:hAnsi="Times New Roman" w:cs="Times New Roman"/>
          <w:sz w:val="28"/>
          <w:szCs w:val="28"/>
        </w:rPr>
        <w:t>principles:</w:t>
      </w:r>
    </w:p>
    <w:p w:rsidR="00EB5845" w:rsidRPr="0034141A" w:rsidRDefault="00EB5845" w:rsidP="00EB5845">
      <w:pPr>
        <w:spacing w:after="0" w:line="240" w:lineRule="auto"/>
        <w:jc w:val="both"/>
        <w:rPr>
          <w:rFonts w:ascii="Times New Roman" w:hAnsi="Times New Roman" w:cs="Times New Roman"/>
          <w:sz w:val="28"/>
          <w:szCs w:val="28"/>
        </w:rPr>
      </w:pPr>
    </w:p>
    <w:p w:rsidR="00FF2ECC" w:rsidRPr="0034141A" w:rsidRDefault="00E83FA9" w:rsidP="00EB5845">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First, i</w:t>
      </w:r>
      <w:r w:rsidR="00FF2ECC" w:rsidRPr="0034141A">
        <w:rPr>
          <w:rFonts w:ascii="Times New Roman" w:hAnsi="Times New Roman" w:cs="Times New Roman"/>
          <w:sz w:val="28"/>
          <w:szCs w:val="28"/>
        </w:rPr>
        <w:t xml:space="preserve">n order to avoid substantial interference in interstate commerce, the dormant Commerce Clause of the United States Constitution </w:t>
      </w:r>
      <w:r w:rsidR="00FF2ECC" w:rsidRPr="0034141A">
        <w:rPr>
          <w:rFonts w:ascii="Times New Roman" w:hAnsi="Times New Roman" w:cs="Times New Roman"/>
          <w:i/>
          <w:sz w:val="28"/>
          <w:szCs w:val="28"/>
        </w:rPr>
        <w:t>requires</w:t>
      </w:r>
      <w:r w:rsidR="00FF2ECC" w:rsidRPr="0034141A">
        <w:rPr>
          <w:rFonts w:ascii="Times New Roman" w:hAnsi="Times New Roman" w:cs="Times New Roman"/>
          <w:sz w:val="28"/>
          <w:szCs w:val="28"/>
        </w:rPr>
        <w:t xml:space="preserve"> every state and subdivision thereof to give its residents a full tax credit for all income taxes paid in another state or subdivision</w:t>
      </w:r>
      <w:r>
        <w:rPr>
          <w:rFonts w:ascii="Times New Roman" w:hAnsi="Times New Roman" w:cs="Times New Roman"/>
          <w:sz w:val="28"/>
          <w:szCs w:val="28"/>
        </w:rPr>
        <w:t>; and</w:t>
      </w:r>
    </w:p>
    <w:p w:rsidR="0081175B" w:rsidRDefault="00E83FA9" w:rsidP="00EB5845">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Second, t</w:t>
      </w:r>
      <w:r w:rsidR="0081175B" w:rsidRPr="0034141A">
        <w:rPr>
          <w:rFonts w:ascii="Times New Roman" w:hAnsi="Times New Roman" w:cs="Times New Roman"/>
          <w:sz w:val="28"/>
          <w:szCs w:val="28"/>
        </w:rPr>
        <w:t xml:space="preserve">he receipt of Subchapter S </w:t>
      </w:r>
      <w:r w:rsidR="00CD7D6A" w:rsidRPr="0034141A">
        <w:rPr>
          <w:rFonts w:ascii="Times New Roman" w:hAnsi="Times New Roman" w:cs="Times New Roman"/>
          <w:sz w:val="28"/>
          <w:szCs w:val="28"/>
        </w:rPr>
        <w:t xml:space="preserve">pass-through income in Maryland is “interstate commerce” which is being substantially affected by Maryland’s tax structure, in violation of the dormant Commerce Clause. </w:t>
      </w:r>
    </w:p>
    <w:p w:rsidR="00EB5845" w:rsidRPr="00EB5845" w:rsidRDefault="00EB5845" w:rsidP="00EB5845">
      <w:pPr>
        <w:spacing w:after="0" w:line="240" w:lineRule="auto"/>
        <w:ind w:left="720"/>
        <w:jc w:val="both"/>
        <w:rPr>
          <w:rFonts w:ascii="Times New Roman" w:hAnsi="Times New Roman" w:cs="Times New Roman"/>
          <w:sz w:val="28"/>
          <w:szCs w:val="28"/>
        </w:rPr>
      </w:pPr>
    </w:p>
    <w:p w:rsidR="00CD7D6A" w:rsidRPr="0034141A" w:rsidRDefault="00FF2ECC" w:rsidP="00EB5845">
      <w:pPr>
        <w:spacing w:after="0" w:line="240" w:lineRule="auto"/>
        <w:jc w:val="both"/>
        <w:rPr>
          <w:rFonts w:ascii="Times New Roman" w:hAnsi="Times New Roman" w:cs="Times New Roman"/>
          <w:sz w:val="28"/>
          <w:szCs w:val="28"/>
        </w:rPr>
      </w:pPr>
      <w:r w:rsidRPr="0034141A">
        <w:rPr>
          <w:rFonts w:ascii="Times New Roman" w:hAnsi="Times New Roman" w:cs="Times New Roman"/>
          <w:sz w:val="28"/>
          <w:szCs w:val="28"/>
        </w:rPr>
        <w:tab/>
      </w:r>
      <w:r w:rsidR="00E83FA9">
        <w:rPr>
          <w:rFonts w:ascii="Times New Roman" w:hAnsi="Times New Roman" w:cs="Times New Roman"/>
          <w:sz w:val="28"/>
          <w:szCs w:val="28"/>
        </w:rPr>
        <w:t xml:space="preserve">Although this Court has repeatedly confirmed that a State may tax income of its residents without regard to source, the specific question of whether a State must offer a credit to its residents for all income taxes paid </w:t>
      </w:r>
      <w:r w:rsidR="006D7A6B">
        <w:rPr>
          <w:rFonts w:ascii="Times New Roman" w:hAnsi="Times New Roman" w:cs="Times New Roman"/>
          <w:sz w:val="28"/>
          <w:szCs w:val="28"/>
        </w:rPr>
        <w:t xml:space="preserve">to </w:t>
      </w:r>
      <w:r w:rsidR="00E83FA9">
        <w:rPr>
          <w:rFonts w:ascii="Times New Roman" w:hAnsi="Times New Roman" w:cs="Times New Roman"/>
          <w:sz w:val="28"/>
          <w:szCs w:val="28"/>
        </w:rPr>
        <w:t>another jurisdiction has never been decided.</w:t>
      </w:r>
      <w:r w:rsidR="00E83FA9" w:rsidRPr="0034141A">
        <w:rPr>
          <w:rFonts w:ascii="Times New Roman" w:hAnsi="Times New Roman" w:cs="Times New Roman"/>
          <w:sz w:val="28"/>
          <w:szCs w:val="28"/>
        </w:rPr>
        <w:t xml:space="preserve">  </w:t>
      </w:r>
    </w:p>
    <w:p w:rsidR="00EB5845" w:rsidRDefault="00CD7D6A" w:rsidP="00EB5845">
      <w:pPr>
        <w:spacing w:after="0" w:line="240" w:lineRule="auto"/>
        <w:jc w:val="both"/>
        <w:rPr>
          <w:rFonts w:ascii="Times New Roman" w:hAnsi="Times New Roman" w:cs="Times New Roman"/>
          <w:sz w:val="28"/>
          <w:szCs w:val="28"/>
        </w:rPr>
      </w:pPr>
      <w:r w:rsidRPr="0034141A">
        <w:rPr>
          <w:rFonts w:ascii="Times New Roman" w:hAnsi="Times New Roman" w:cs="Times New Roman"/>
          <w:sz w:val="28"/>
          <w:szCs w:val="28"/>
        </w:rPr>
        <w:tab/>
      </w:r>
      <w:r w:rsidR="00FF2ECC" w:rsidRPr="0034141A">
        <w:rPr>
          <w:rFonts w:ascii="Times New Roman" w:hAnsi="Times New Roman" w:cs="Times New Roman"/>
          <w:sz w:val="28"/>
          <w:szCs w:val="28"/>
        </w:rPr>
        <w:t xml:space="preserve">Cases below and the Court’s own precedents assessing tax issues in light of the dormant Commerce Clause lead to divergent conclusions. </w:t>
      </w:r>
      <w:r w:rsidR="002A2064" w:rsidRPr="0034141A">
        <w:rPr>
          <w:rFonts w:ascii="Times New Roman" w:hAnsi="Times New Roman" w:cs="Times New Roman"/>
          <w:sz w:val="28"/>
          <w:szCs w:val="28"/>
        </w:rPr>
        <w:t xml:space="preserve"> While traditional dormant Commerce Clause analyses function effectively in cases where a state </w:t>
      </w:r>
      <w:r w:rsidR="00962651">
        <w:rPr>
          <w:rFonts w:ascii="Times New Roman" w:hAnsi="Times New Roman" w:cs="Times New Roman"/>
          <w:sz w:val="28"/>
          <w:szCs w:val="28"/>
        </w:rPr>
        <w:t xml:space="preserve">has </w:t>
      </w:r>
      <w:r w:rsidR="002A2064" w:rsidRPr="0034141A">
        <w:rPr>
          <w:rFonts w:ascii="Times New Roman" w:hAnsi="Times New Roman" w:cs="Times New Roman"/>
          <w:sz w:val="28"/>
          <w:szCs w:val="28"/>
        </w:rPr>
        <w:t xml:space="preserve">clearly </w:t>
      </w:r>
      <w:r w:rsidR="00962651">
        <w:rPr>
          <w:rFonts w:ascii="Times New Roman" w:hAnsi="Times New Roman" w:cs="Times New Roman"/>
          <w:sz w:val="28"/>
          <w:szCs w:val="28"/>
        </w:rPr>
        <w:t>acted</w:t>
      </w:r>
      <w:r w:rsidR="002A2064" w:rsidRPr="0034141A">
        <w:rPr>
          <w:rFonts w:ascii="Times New Roman" w:hAnsi="Times New Roman" w:cs="Times New Roman"/>
          <w:sz w:val="28"/>
          <w:szCs w:val="28"/>
        </w:rPr>
        <w:t xml:space="preserve">, typically as a market regulator, to </w:t>
      </w:r>
      <w:r w:rsidR="00885FCF">
        <w:rPr>
          <w:rFonts w:ascii="Times New Roman" w:hAnsi="Times New Roman" w:cs="Times New Roman"/>
          <w:sz w:val="28"/>
          <w:szCs w:val="28"/>
        </w:rPr>
        <w:t xml:space="preserve">favor in-state </w:t>
      </w:r>
      <w:r w:rsidR="002A2064" w:rsidRPr="0034141A">
        <w:rPr>
          <w:rFonts w:ascii="Times New Roman" w:hAnsi="Times New Roman" w:cs="Times New Roman"/>
          <w:sz w:val="28"/>
          <w:szCs w:val="28"/>
        </w:rPr>
        <w:t>competit</w:t>
      </w:r>
      <w:r w:rsidR="00885FCF">
        <w:rPr>
          <w:rFonts w:ascii="Times New Roman" w:hAnsi="Times New Roman" w:cs="Times New Roman"/>
          <w:sz w:val="28"/>
          <w:szCs w:val="28"/>
        </w:rPr>
        <w:t>ors</w:t>
      </w:r>
      <w:r w:rsidR="002A2064" w:rsidRPr="0034141A">
        <w:rPr>
          <w:rFonts w:ascii="Times New Roman" w:hAnsi="Times New Roman" w:cs="Times New Roman"/>
          <w:sz w:val="28"/>
          <w:szCs w:val="28"/>
        </w:rPr>
        <w:t xml:space="preserve">, the </w:t>
      </w:r>
      <w:r w:rsidR="00962651">
        <w:rPr>
          <w:rFonts w:ascii="Times New Roman" w:hAnsi="Times New Roman" w:cs="Times New Roman"/>
          <w:sz w:val="28"/>
          <w:szCs w:val="28"/>
        </w:rPr>
        <w:t xml:space="preserve">analysis </w:t>
      </w:r>
      <w:r w:rsidR="002A2064" w:rsidRPr="0034141A">
        <w:rPr>
          <w:rFonts w:ascii="Times New Roman" w:hAnsi="Times New Roman" w:cs="Times New Roman"/>
          <w:sz w:val="28"/>
          <w:szCs w:val="28"/>
        </w:rPr>
        <w:t xml:space="preserve">in the arena of state and local </w:t>
      </w:r>
      <w:r w:rsidR="00962651">
        <w:rPr>
          <w:rFonts w:ascii="Times New Roman" w:hAnsi="Times New Roman" w:cs="Times New Roman"/>
          <w:sz w:val="28"/>
          <w:szCs w:val="28"/>
        </w:rPr>
        <w:t xml:space="preserve">personal </w:t>
      </w:r>
      <w:r w:rsidR="002A2064" w:rsidRPr="0034141A">
        <w:rPr>
          <w:rFonts w:ascii="Times New Roman" w:hAnsi="Times New Roman" w:cs="Times New Roman"/>
          <w:sz w:val="28"/>
          <w:szCs w:val="28"/>
        </w:rPr>
        <w:t>income taxation</w:t>
      </w:r>
      <w:r w:rsidR="004407CA">
        <w:rPr>
          <w:rFonts w:ascii="Times New Roman" w:hAnsi="Times New Roman" w:cs="Times New Roman"/>
          <w:sz w:val="28"/>
          <w:szCs w:val="28"/>
        </w:rPr>
        <w:t xml:space="preserve"> where the taxation is not facially discriminatory</w:t>
      </w:r>
      <w:r w:rsidR="002A2064" w:rsidRPr="0034141A">
        <w:rPr>
          <w:rFonts w:ascii="Times New Roman" w:hAnsi="Times New Roman" w:cs="Times New Roman"/>
          <w:sz w:val="28"/>
          <w:szCs w:val="28"/>
        </w:rPr>
        <w:t xml:space="preserve"> is more </w:t>
      </w:r>
      <w:r w:rsidR="00962651">
        <w:rPr>
          <w:rFonts w:ascii="Times New Roman" w:hAnsi="Times New Roman" w:cs="Times New Roman"/>
          <w:sz w:val="28"/>
          <w:szCs w:val="28"/>
        </w:rPr>
        <w:t xml:space="preserve">nuanced. </w:t>
      </w:r>
      <w:r w:rsidR="002A2064" w:rsidRPr="0034141A">
        <w:rPr>
          <w:rFonts w:ascii="Times New Roman" w:hAnsi="Times New Roman" w:cs="Times New Roman"/>
          <w:sz w:val="28"/>
          <w:szCs w:val="28"/>
        </w:rPr>
        <w:tab/>
      </w:r>
    </w:p>
    <w:p w:rsidR="00942F53" w:rsidRPr="0034141A" w:rsidRDefault="00EB5845" w:rsidP="00EB5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A2064" w:rsidRPr="0034141A">
        <w:rPr>
          <w:rFonts w:ascii="Times New Roman" w:hAnsi="Times New Roman" w:cs="Times New Roman"/>
          <w:sz w:val="28"/>
          <w:szCs w:val="28"/>
        </w:rPr>
        <w:t>The Court of Appeals</w:t>
      </w:r>
      <w:r w:rsidR="00EC2B15" w:rsidRPr="0034141A">
        <w:rPr>
          <w:rFonts w:ascii="Times New Roman" w:hAnsi="Times New Roman" w:cs="Times New Roman"/>
          <w:sz w:val="28"/>
          <w:szCs w:val="28"/>
        </w:rPr>
        <w:t xml:space="preserve">’ decision implies that any state whose tax code does not grant a full credit for all income taxes paid by residents to other jurisdictions is void </w:t>
      </w:r>
      <w:r w:rsidR="00EC2B15" w:rsidRPr="0034141A">
        <w:rPr>
          <w:rFonts w:ascii="Times New Roman" w:hAnsi="Times New Roman" w:cs="Times New Roman"/>
          <w:i/>
          <w:sz w:val="28"/>
          <w:szCs w:val="28"/>
        </w:rPr>
        <w:t>ab initio</w:t>
      </w:r>
      <w:r w:rsidR="00EC2B15" w:rsidRPr="0034141A">
        <w:rPr>
          <w:rFonts w:ascii="Times New Roman" w:hAnsi="Times New Roman" w:cs="Times New Roman"/>
          <w:sz w:val="28"/>
          <w:szCs w:val="28"/>
        </w:rPr>
        <w:t xml:space="preserve">.  The analysis behind this conclusion is a hypothetical where a worker making $100,000 per year might pay an additional $12 per week in Maryland taxes when working </w:t>
      </w:r>
      <w:r w:rsidR="00942F53" w:rsidRPr="0034141A">
        <w:rPr>
          <w:rFonts w:ascii="Times New Roman" w:hAnsi="Times New Roman" w:cs="Times New Roman"/>
          <w:sz w:val="28"/>
          <w:szCs w:val="28"/>
        </w:rPr>
        <w:t xml:space="preserve">half-time </w:t>
      </w:r>
      <w:r w:rsidR="00EC2B15" w:rsidRPr="0034141A">
        <w:rPr>
          <w:rFonts w:ascii="Times New Roman" w:hAnsi="Times New Roman" w:cs="Times New Roman"/>
          <w:sz w:val="28"/>
          <w:szCs w:val="28"/>
        </w:rPr>
        <w:t>in another jurisdiction.  This difference</w:t>
      </w:r>
      <w:r w:rsidR="00942F53" w:rsidRPr="0034141A">
        <w:rPr>
          <w:rFonts w:ascii="Times New Roman" w:hAnsi="Times New Roman" w:cs="Times New Roman"/>
          <w:sz w:val="28"/>
          <w:szCs w:val="28"/>
        </w:rPr>
        <w:t xml:space="preserve">, says the Court of Appeals, </w:t>
      </w:r>
      <w:r w:rsidR="00EC2B15" w:rsidRPr="0034141A">
        <w:rPr>
          <w:rFonts w:ascii="Times New Roman" w:hAnsi="Times New Roman" w:cs="Times New Roman"/>
          <w:sz w:val="28"/>
          <w:szCs w:val="28"/>
        </w:rPr>
        <w:t xml:space="preserve">stifles interstate commerce and requires dismantling of Maryland’s </w:t>
      </w:r>
      <w:r w:rsidR="00A43645">
        <w:rPr>
          <w:rFonts w:ascii="Times New Roman" w:hAnsi="Times New Roman" w:cs="Times New Roman"/>
          <w:sz w:val="28"/>
          <w:szCs w:val="28"/>
        </w:rPr>
        <w:t xml:space="preserve">income </w:t>
      </w:r>
      <w:r w:rsidR="00EC2B15" w:rsidRPr="0034141A">
        <w:rPr>
          <w:rFonts w:ascii="Times New Roman" w:hAnsi="Times New Roman" w:cs="Times New Roman"/>
          <w:sz w:val="28"/>
          <w:szCs w:val="28"/>
        </w:rPr>
        <w:t xml:space="preserve">tax laws. </w:t>
      </w:r>
      <w:r w:rsidR="005F04CE">
        <w:rPr>
          <w:rFonts w:ascii="Times New Roman" w:hAnsi="Times New Roman" w:cs="Times New Roman"/>
          <w:sz w:val="28"/>
          <w:szCs w:val="28"/>
        </w:rPr>
        <w:t>The m</w:t>
      </w:r>
      <w:r w:rsidR="00EC2B15" w:rsidRPr="0034141A">
        <w:rPr>
          <w:rFonts w:ascii="Times New Roman" w:hAnsi="Times New Roman" w:cs="Times New Roman"/>
          <w:sz w:val="28"/>
          <w:szCs w:val="28"/>
        </w:rPr>
        <w:t xml:space="preserve">any other states </w:t>
      </w:r>
      <w:r w:rsidR="0075367D">
        <w:rPr>
          <w:rFonts w:ascii="Times New Roman" w:hAnsi="Times New Roman" w:cs="Times New Roman"/>
          <w:sz w:val="28"/>
          <w:szCs w:val="28"/>
        </w:rPr>
        <w:t xml:space="preserve">and local governments </w:t>
      </w:r>
      <w:r w:rsidR="005F04CE">
        <w:rPr>
          <w:rFonts w:ascii="Times New Roman" w:hAnsi="Times New Roman" w:cs="Times New Roman"/>
          <w:sz w:val="28"/>
          <w:szCs w:val="28"/>
        </w:rPr>
        <w:t xml:space="preserve">that </w:t>
      </w:r>
      <w:r w:rsidR="00EC2B15" w:rsidRPr="0034141A">
        <w:rPr>
          <w:rFonts w:ascii="Times New Roman" w:hAnsi="Times New Roman" w:cs="Times New Roman"/>
          <w:sz w:val="28"/>
          <w:szCs w:val="28"/>
        </w:rPr>
        <w:t xml:space="preserve">decline to give full credit for all income taxes paid in other jurisdictions will face the same </w:t>
      </w:r>
      <w:r w:rsidR="00A43645">
        <w:rPr>
          <w:rFonts w:ascii="Times New Roman" w:hAnsi="Times New Roman" w:cs="Times New Roman"/>
          <w:sz w:val="28"/>
          <w:szCs w:val="28"/>
        </w:rPr>
        <w:t>imperative.</w:t>
      </w:r>
      <w:r w:rsidR="00EC2B15" w:rsidRPr="0034141A">
        <w:rPr>
          <w:rFonts w:ascii="Times New Roman" w:hAnsi="Times New Roman" w:cs="Times New Roman"/>
          <w:sz w:val="28"/>
          <w:szCs w:val="28"/>
        </w:rPr>
        <w:t xml:space="preserve"> </w:t>
      </w:r>
    </w:p>
    <w:p w:rsidR="00EC2B15" w:rsidRPr="0034141A" w:rsidRDefault="00942F53" w:rsidP="00EB5845">
      <w:pPr>
        <w:spacing w:after="0" w:line="240" w:lineRule="auto"/>
        <w:jc w:val="both"/>
        <w:rPr>
          <w:rFonts w:ascii="Times New Roman" w:hAnsi="Times New Roman" w:cs="Times New Roman"/>
          <w:sz w:val="28"/>
          <w:szCs w:val="28"/>
        </w:rPr>
      </w:pPr>
      <w:r w:rsidRPr="0034141A">
        <w:rPr>
          <w:rFonts w:ascii="Times New Roman" w:hAnsi="Times New Roman" w:cs="Times New Roman"/>
          <w:sz w:val="28"/>
          <w:szCs w:val="28"/>
        </w:rPr>
        <w:tab/>
      </w:r>
      <w:r w:rsidR="00EC2B15" w:rsidRPr="0034141A">
        <w:rPr>
          <w:rFonts w:ascii="Times New Roman" w:hAnsi="Times New Roman" w:cs="Times New Roman"/>
          <w:sz w:val="28"/>
          <w:szCs w:val="28"/>
        </w:rPr>
        <w:t>Th</w:t>
      </w:r>
      <w:r w:rsidR="00A43645">
        <w:rPr>
          <w:rFonts w:ascii="Times New Roman" w:hAnsi="Times New Roman" w:cs="Times New Roman"/>
          <w:sz w:val="28"/>
          <w:szCs w:val="28"/>
        </w:rPr>
        <w:t xml:space="preserve">is result is </w:t>
      </w:r>
      <w:r w:rsidR="004F418B">
        <w:rPr>
          <w:rFonts w:ascii="Times New Roman" w:hAnsi="Times New Roman" w:cs="Times New Roman"/>
          <w:sz w:val="28"/>
          <w:szCs w:val="28"/>
        </w:rPr>
        <w:t xml:space="preserve">inconsistent with </w:t>
      </w:r>
      <w:r w:rsidR="00033991">
        <w:rPr>
          <w:rFonts w:ascii="Times New Roman" w:hAnsi="Times New Roman" w:cs="Times New Roman"/>
          <w:sz w:val="28"/>
          <w:szCs w:val="28"/>
        </w:rPr>
        <w:t>state sovereignty</w:t>
      </w:r>
      <w:r w:rsidR="004F418B">
        <w:rPr>
          <w:rFonts w:ascii="Times New Roman" w:hAnsi="Times New Roman" w:cs="Times New Roman"/>
          <w:sz w:val="28"/>
          <w:szCs w:val="28"/>
        </w:rPr>
        <w:t xml:space="preserve"> and is not </w:t>
      </w:r>
      <w:r w:rsidRPr="0034141A">
        <w:rPr>
          <w:rFonts w:ascii="Times New Roman" w:hAnsi="Times New Roman" w:cs="Times New Roman"/>
          <w:sz w:val="28"/>
          <w:szCs w:val="28"/>
        </w:rPr>
        <w:t>mandated by the Constitution.</w:t>
      </w:r>
    </w:p>
    <w:p w:rsidR="004F418B" w:rsidRDefault="00033991" w:rsidP="00EB5845">
      <w:pPr>
        <w:pStyle w:val="Heading2"/>
        <w:keepNext w:val="0"/>
        <w:keepLines w:val="0"/>
        <w:numPr>
          <w:ilvl w:val="0"/>
          <w:numId w:val="0"/>
        </w:numPr>
        <w:overflowPunct/>
        <w:autoSpaceDE/>
        <w:autoSpaceDN/>
        <w:adjustRightInd/>
        <w:spacing w:before="120" w:after="0" w:line="240" w:lineRule="auto"/>
        <w:jc w:val="both"/>
        <w:textAlignment w:val="auto"/>
        <w:rPr>
          <w:rFonts w:ascii="Times New Roman" w:eastAsia="Arial Unicode MS" w:hAnsi="Times New Roman"/>
          <w:sz w:val="28"/>
          <w:szCs w:val="28"/>
        </w:rPr>
      </w:pPr>
      <w:r>
        <w:rPr>
          <w:rFonts w:ascii="Times New Roman" w:eastAsia="Arial Unicode MS" w:hAnsi="Times New Roman"/>
          <w:sz w:val="28"/>
          <w:szCs w:val="28"/>
        </w:rPr>
        <w:tab/>
      </w:r>
      <w:r>
        <w:rPr>
          <w:rFonts w:ascii="Times New Roman" w:eastAsia="Arial Unicode MS" w:hAnsi="Times New Roman"/>
          <w:sz w:val="28"/>
          <w:szCs w:val="28"/>
        </w:rPr>
        <w:tab/>
      </w:r>
      <w:r w:rsidR="004F418B">
        <w:rPr>
          <w:rFonts w:ascii="Times New Roman" w:eastAsia="Arial Unicode MS" w:hAnsi="Times New Roman"/>
          <w:sz w:val="28"/>
          <w:szCs w:val="28"/>
        </w:rPr>
        <w:t>REASONS FOR GRANTING THE PETITION</w:t>
      </w:r>
    </w:p>
    <w:p w:rsidR="00B56844" w:rsidRDefault="00033991" w:rsidP="007A085D">
      <w:pPr>
        <w:pStyle w:val="Single"/>
        <w:spacing w:line="240" w:lineRule="auto"/>
        <w:rPr>
          <w:rFonts w:ascii="Times New Roman" w:eastAsia="Arial Unicode MS" w:hAnsi="Times New Roman"/>
          <w:sz w:val="28"/>
          <w:szCs w:val="28"/>
        </w:rPr>
      </w:pPr>
      <w:r>
        <w:rPr>
          <w:rFonts w:eastAsia="Arial Unicode MS"/>
        </w:rPr>
        <w:tab/>
      </w:r>
      <w:r w:rsidR="00B56844">
        <w:rPr>
          <w:rFonts w:ascii="Times New Roman" w:eastAsia="Arial Unicode MS" w:hAnsi="Times New Roman"/>
          <w:sz w:val="28"/>
          <w:szCs w:val="28"/>
        </w:rPr>
        <w:t>This Court should grant certiorari to settle what has become a murky are</w:t>
      </w:r>
      <w:r w:rsidR="006D7A6B">
        <w:rPr>
          <w:rFonts w:ascii="Times New Roman" w:eastAsia="Arial Unicode MS" w:hAnsi="Times New Roman"/>
          <w:sz w:val="28"/>
          <w:szCs w:val="28"/>
        </w:rPr>
        <w:t>a</w:t>
      </w:r>
      <w:r w:rsidR="00B56844">
        <w:rPr>
          <w:rFonts w:ascii="Times New Roman" w:eastAsia="Arial Unicode MS" w:hAnsi="Times New Roman"/>
          <w:sz w:val="28"/>
          <w:szCs w:val="28"/>
        </w:rPr>
        <w:t xml:space="preserve"> of the law pitting the decision of the Maryland Court of Appeals against decisions of courts in other states and resolving the important federal question of the extent to which the dormant Commerce Clause should chip away at a State’s most basic sovereign power:  that of taxing its residents.</w:t>
      </w:r>
    </w:p>
    <w:p w:rsidR="00DE4C52" w:rsidRDefault="00DE4C52" w:rsidP="007A085D">
      <w:pPr>
        <w:pStyle w:val="Single"/>
        <w:spacing w:line="240" w:lineRule="auto"/>
        <w:rPr>
          <w:rFonts w:eastAsia="Arial Unicode MS"/>
        </w:rPr>
      </w:pPr>
    </w:p>
    <w:p w:rsidR="00033991" w:rsidRDefault="00C27C42" w:rsidP="007A085D">
      <w:pPr>
        <w:pStyle w:val="Single"/>
        <w:spacing w:line="240" w:lineRule="auto"/>
        <w:jc w:val="center"/>
        <w:rPr>
          <w:rFonts w:ascii="Times New Roman" w:eastAsia="Arial Unicode MS" w:hAnsi="Times New Roman"/>
          <w:b/>
          <w:sz w:val="28"/>
          <w:szCs w:val="28"/>
        </w:rPr>
      </w:pPr>
      <w:r w:rsidRPr="00C27C42">
        <w:rPr>
          <w:rFonts w:ascii="Times New Roman" w:eastAsia="Arial Unicode MS" w:hAnsi="Times New Roman"/>
          <w:b/>
          <w:sz w:val="28"/>
          <w:szCs w:val="28"/>
        </w:rPr>
        <w:t>ARGUMENT</w:t>
      </w:r>
    </w:p>
    <w:p w:rsidR="00DE4C52" w:rsidRPr="00C27C42" w:rsidRDefault="00DE4C52" w:rsidP="007A085D">
      <w:pPr>
        <w:pStyle w:val="Single"/>
        <w:spacing w:line="240" w:lineRule="auto"/>
        <w:jc w:val="center"/>
        <w:rPr>
          <w:rFonts w:ascii="Times New Roman" w:eastAsia="Arial Unicode MS" w:hAnsi="Times New Roman"/>
          <w:b/>
          <w:sz w:val="28"/>
          <w:szCs w:val="28"/>
        </w:rPr>
      </w:pPr>
    </w:p>
    <w:p w:rsidR="00DF525F" w:rsidRPr="00240C90" w:rsidRDefault="00DF525F" w:rsidP="007A085D">
      <w:pPr>
        <w:pStyle w:val="Heading2"/>
        <w:spacing w:line="240" w:lineRule="auto"/>
        <w:jc w:val="both"/>
        <w:rPr>
          <w:rFonts w:ascii="Times New Roman" w:hAnsi="Times New Roman"/>
          <w:sz w:val="28"/>
          <w:szCs w:val="28"/>
        </w:rPr>
      </w:pPr>
      <w:r w:rsidRPr="00240C90">
        <w:rPr>
          <w:rFonts w:ascii="Times New Roman" w:hAnsi="Times New Roman"/>
          <w:sz w:val="28"/>
          <w:szCs w:val="28"/>
        </w:rPr>
        <w:lastRenderedPageBreak/>
        <w:tab/>
      </w:r>
      <w:r w:rsidR="00F93224" w:rsidRPr="00240C90">
        <w:rPr>
          <w:rFonts w:ascii="Times New Roman" w:hAnsi="Times New Roman"/>
          <w:sz w:val="28"/>
          <w:szCs w:val="28"/>
        </w:rPr>
        <w:t>THE</w:t>
      </w:r>
      <w:r w:rsidR="001639CC" w:rsidRPr="00240C90">
        <w:rPr>
          <w:rFonts w:ascii="Times New Roman" w:hAnsi="Times New Roman"/>
          <w:sz w:val="28"/>
          <w:szCs w:val="28"/>
        </w:rPr>
        <w:t xml:space="preserve"> MARYLAND COURT</w:t>
      </w:r>
      <w:r w:rsidR="00905EAA">
        <w:rPr>
          <w:rFonts w:ascii="Times New Roman" w:hAnsi="Times New Roman"/>
          <w:sz w:val="28"/>
          <w:szCs w:val="28"/>
        </w:rPr>
        <w:t>’s</w:t>
      </w:r>
      <w:r w:rsidR="001639CC" w:rsidRPr="00240C90">
        <w:rPr>
          <w:rFonts w:ascii="Times New Roman" w:hAnsi="Times New Roman"/>
          <w:sz w:val="28"/>
          <w:szCs w:val="28"/>
        </w:rPr>
        <w:t xml:space="preserve"> OF APPEALS DECISION </w:t>
      </w:r>
      <w:r w:rsidR="00276756">
        <w:rPr>
          <w:rFonts w:ascii="Times New Roman" w:hAnsi="Times New Roman"/>
          <w:sz w:val="28"/>
          <w:szCs w:val="28"/>
        </w:rPr>
        <w:t xml:space="preserve">is not mandated by the constitution and conflicts with numerous </w:t>
      </w:r>
      <w:r w:rsidR="007A085D">
        <w:rPr>
          <w:rFonts w:ascii="Times New Roman" w:hAnsi="Times New Roman"/>
          <w:sz w:val="28"/>
          <w:szCs w:val="28"/>
        </w:rPr>
        <w:t xml:space="preserve">contrary holdings </w:t>
      </w:r>
      <w:r w:rsidR="00276756">
        <w:rPr>
          <w:rFonts w:ascii="Times New Roman" w:hAnsi="Times New Roman"/>
          <w:sz w:val="28"/>
          <w:szCs w:val="28"/>
        </w:rPr>
        <w:t>in other states</w:t>
      </w:r>
    </w:p>
    <w:p w:rsidR="00D15D84" w:rsidRPr="0034141A" w:rsidRDefault="00D8435C" w:rsidP="007A085D">
      <w:pPr>
        <w:spacing w:line="240" w:lineRule="auto"/>
        <w:jc w:val="both"/>
        <w:rPr>
          <w:rFonts w:ascii="Times New Roman" w:hAnsi="Times New Roman" w:cs="Times New Roman"/>
          <w:sz w:val="28"/>
          <w:szCs w:val="28"/>
        </w:rPr>
      </w:pPr>
      <w:r w:rsidRPr="0034141A">
        <w:rPr>
          <w:rFonts w:ascii="Times New Roman" w:hAnsi="Times New Roman" w:cs="Times New Roman"/>
          <w:sz w:val="28"/>
          <w:szCs w:val="28"/>
        </w:rPr>
        <w:tab/>
      </w:r>
      <w:r w:rsidR="00235118" w:rsidRPr="0034141A">
        <w:rPr>
          <w:rFonts w:ascii="Times New Roman" w:hAnsi="Times New Roman" w:cs="Times New Roman"/>
          <w:sz w:val="28"/>
          <w:szCs w:val="28"/>
        </w:rPr>
        <w:t xml:space="preserve">The </w:t>
      </w:r>
      <w:r w:rsidR="00080A52" w:rsidRPr="0034141A">
        <w:rPr>
          <w:rFonts w:ascii="Times New Roman" w:hAnsi="Times New Roman" w:cs="Times New Roman"/>
          <w:sz w:val="28"/>
          <w:szCs w:val="28"/>
        </w:rPr>
        <w:t xml:space="preserve">Court of Appeals’ conclusion </w:t>
      </w:r>
      <w:r w:rsidR="00962E8E" w:rsidRPr="0034141A">
        <w:rPr>
          <w:rFonts w:ascii="Times New Roman" w:hAnsi="Times New Roman" w:cs="Times New Roman"/>
          <w:sz w:val="28"/>
          <w:szCs w:val="28"/>
        </w:rPr>
        <w:t>that a state must</w:t>
      </w:r>
      <w:r w:rsidR="00DE4C52">
        <w:rPr>
          <w:rFonts w:ascii="Times New Roman" w:hAnsi="Times New Roman" w:cs="Times New Roman"/>
          <w:sz w:val="28"/>
          <w:szCs w:val="28"/>
        </w:rPr>
        <w:t xml:space="preserve">, under the </w:t>
      </w:r>
      <w:r w:rsidR="00946664">
        <w:rPr>
          <w:rFonts w:ascii="Times New Roman" w:hAnsi="Times New Roman" w:cs="Times New Roman"/>
          <w:sz w:val="28"/>
          <w:szCs w:val="28"/>
        </w:rPr>
        <w:t xml:space="preserve">imperatives of </w:t>
      </w:r>
      <w:r w:rsidR="00DE4C52">
        <w:rPr>
          <w:rFonts w:ascii="Times New Roman" w:hAnsi="Times New Roman" w:cs="Times New Roman"/>
          <w:sz w:val="28"/>
          <w:szCs w:val="28"/>
        </w:rPr>
        <w:t xml:space="preserve">the dormant Commerce Clause, </w:t>
      </w:r>
      <w:r w:rsidR="00962E8E" w:rsidRPr="0034141A">
        <w:rPr>
          <w:rFonts w:ascii="Times New Roman" w:hAnsi="Times New Roman" w:cs="Times New Roman"/>
          <w:sz w:val="28"/>
          <w:szCs w:val="28"/>
        </w:rPr>
        <w:t xml:space="preserve">grant its residents a complete tax credit for every dollar of income tax paid to another state is </w:t>
      </w:r>
      <w:r w:rsidR="00DE4C52">
        <w:rPr>
          <w:rFonts w:ascii="Times New Roman" w:hAnsi="Times New Roman" w:cs="Times New Roman"/>
          <w:sz w:val="28"/>
          <w:szCs w:val="28"/>
        </w:rPr>
        <w:t>not mandated by the Constitution.</w:t>
      </w:r>
      <w:r w:rsidR="00962E8E" w:rsidRPr="0034141A">
        <w:rPr>
          <w:rFonts w:ascii="Times New Roman" w:hAnsi="Times New Roman" w:cs="Times New Roman"/>
          <w:sz w:val="28"/>
          <w:szCs w:val="28"/>
        </w:rPr>
        <w:t xml:space="preserve">  </w:t>
      </w:r>
      <w:r w:rsidR="0083649B" w:rsidRPr="0034141A">
        <w:rPr>
          <w:rFonts w:ascii="Times New Roman" w:hAnsi="Times New Roman" w:cs="Times New Roman"/>
          <w:sz w:val="28"/>
          <w:szCs w:val="28"/>
        </w:rPr>
        <w:t>T</w:t>
      </w:r>
      <w:r w:rsidR="00235118" w:rsidRPr="0034141A">
        <w:rPr>
          <w:rFonts w:ascii="Times New Roman" w:hAnsi="Times New Roman" w:cs="Times New Roman"/>
          <w:sz w:val="28"/>
          <w:szCs w:val="28"/>
        </w:rPr>
        <w:t>he</w:t>
      </w:r>
      <w:r w:rsidR="0094070B" w:rsidRPr="0034141A">
        <w:rPr>
          <w:rFonts w:ascii="Times New Roman" w:hAnsi="Times New Roman" w:cs="Times New Roman"/>
          <w:sz w:val="28"/>
          <w:szCs w:val="28"/>
        </w:rPr>
        <w:t xml:space="preserve"> </w:t>
      </w:r>
      <w:r w:rsidR="00946664">
        <w:rPr>
          <w:rFonts w:ascii="Times New Roman" w:hAnsi="Times New Roman" w:cs="Times New Roman"/>
          <w:sz w:val="28"/>
          <w:szCs w:val="28"/>
        </w:rPr>
        <w:t xml:space="preserve">Maryland </w:t>
      </w:r>
      <w:r w:rsidR="00080A52" w:rsidRPr="0034141A">
        <w:rPr>
          <w:rFonts w:ascii="Times New Roman" w:hAnsi="Times New Roman" w:cs="Times New Roman"/>
          <w:sz w:val="28"/>
          <w:szCs w:val="28"/>
        </w:rPr>
        <w:t xml:space="preserve">court does </w:t>
      </w:r>
      <w:r w:rsidR="0094070B" w:rsidRPr="0034141A">
        <w:rPr>
          <w:rFonts w:ascii="Times New Roman" w:hAnsi="Times New Roman" w:cs="Times New Roman"/>
          <w:sz w:val="28"/>
          <w:szCs w:val="28"/>
        </w:rPr>
        <w:t xml:space="preserve">not cite a </w:t>
      </w:r>
      <w:r w:rsidR="00F93224" w:rsidRPr="0034141A">
        <w:rPr>
          <w:rFonts w:ascii="Times New Roman" w:hAnsi="Times New Roman" w:cs="Times New Roman"/>
          <w:sz w:val="28"/>
          <w:szCs w:val="28"/>
        </w:rPr>
        <w:t xml:space="preserve">single </w:t>
      </w:r>
      <w:r w:rsidR="00604FA3" w:rsidRPr="0034141A">
        <w:rPr>
          <w:rFonts w:ascii="Times New Roman" w:hAnsi="Times New Roman" w:cs="Times New Roman"/>
          <w:sz w:val="28"/>
          <w:szCs w:val="28"/>
        </w:rPr>
        <w:t xml:space="preserve">precedent </w:t>
      </w:r>
      <w:r w:rsidR="0094070B" w:rsidRPr="0034141A">
        <w:rPr>
          <w:rFonts w:ascii="Times New Roman" w:hAnsi="Times New Roman" w:cs="Times New Roman"/>
          <w:sz w:val="28"/>
          <w:szCs w:val="28"/>
        </w:rPr>
        <w:t xml:space="preserve">for the proposition that the </w:t>
      </w:r>
      <w:r w:rsidR="00F93224" w:rsidRPr="0034141A">
        <w:rPr>
          <w:rFonts w:ascii="Times New Roman" w:hAnsi="Times New Roman" w:cs="Times New Roman"/>
          <w:sz w:val="28"/>
          <w:szCs w:val="28"/>
        </w:rPr>
        <w:t xml:space="preserve">United States Constitution </w:t>
      </w:r>
      <w:r w:rsidR="00604FA3" w:rsidRPr="0034141A">
        <w:rPr>
          <w:rFonts w:ascii="Times New Roman" w:hAnsi="Times New Roman" w:cs="Times New Roman"/>
          <w:sz w:val="28"/>
          <w:szCs w:val="28"/>
        </w:rPr>
        <w:t xml:space="preserve">unambiguously </w:t>
      </w:r>
      <w:r w:rsidR="00F93224" w:rsidRPr="0034141A">
        <w:rPr>
          <w:rFonts w:ascii="Times New Roman" w:hAnsi="Times New Roman" w:cs="Times New Roman"/>
          <w:i/>
          <w:sz w:val="28"/>
          <w:szCs w:val="28"/>
        </w:rPr>
        <w:t>requires</w:t>
      </w:r>
      <w:r w:rsidR="00F93224" w:rsidRPr="0034141A">
        <w:rPr>
          <w:rFonts w:ascii="Times New Roman" w:hAnsi="Times New Roman" w:cs="Times New Roman"/>
          <w:sz w:val="28"/>
          <w:szCs w:val="28"/>
        </w:rPr>
        <w:t xml:space="preserve"> every state </w:t>
      </w:r>
      <w:r w:rsidR="0094070B" w:rsidRPr="0034141A">
        <w:rPr>
          <w:rFonts w:ascii="Times New Roman" w:hAnsi="Times New Roman" w:cs="Times New Roman"/>
          <w:sz w:val="28"/>
          <w:szCs w:val="28"/>
        </w:rPr>
        <w:t xml:space="preserve">to grant a full credit </w:t>
      </w:r>
      <w:r w:rsidR="001C34C9" w:rsidRPr="0034141A">
        <w:rPr>
          <w:rFonts w:ascii="Times New Roman" w:hAnsi="Times New Roman" w:cs="Times New Roman"/>
          <w:sz w:val="28"/>
          <w:szCs w:val="28"/>
        </w:rPr>
        <w:t xml:space="preserve">to its residents </w:t>
      </w:r>
      <w:r w:rsidR="00F93224" w:rsidRPr="0034141A">
        <w:rPr>
          <w:rFonts w:ascii="Times New Roman" w:hAnsi="Times New Roman" w:cs="Times New Roman"/>
          <w:sz w:val="28"/>
          <w:szCs w:val="28"/>
        </w:rPr>
        <w:t xml:space="preserve">for </w:t>
      </w:r>
      <w:r w:rsidR="0058451E" w:rsidRPr="0034141A">
        <w:rPr>
          <w:rFonts w:ascii="Times New Roman" w:hAnsi="Times New Roman" w:cs="Times New Roman"/>
          <w:sz w:val="28"/>
          <w:szCs w:val="28"/>
        </w:rPr>
        <w:t xml:space="preserve">all </w:t>
      </w:r>
      <w:r w:rsidR="00F93224" w:rsidRPr="0034141A">
        <w:rPr>
          <w:rFonts w:ascii="Times New Roman" w:hAnsi="Times New Roman" w:cs="Times New Roman"/>
          <w:sz w:val="28"/>
          <w:szCs w:val="28"/>
        </w:rPr>
        <w:t xml:space="preserve">income taxes </w:t>
      </w:r>
      <w:r w:rsidR="001C34C9" w:rsidRPr="0034141A">
        <w:rPr>
          <w:rFonts w:ascii="Times New Roman" w:hAnsi="Times New Roman" w:cs="Times New Roman"/>
          <w:sz w:val="28"/>
          <w:szCs w:val="28"/>
        </w:rPr>
        <w:t xml:space="preserve">they may pay </w:t>
      </w:r>
      <w:r w:rsidR="00604FA3" w:rsidRPr="0034141A">
        <w:rPr>
          <w:rFonts w:ascii="Times New Roman" w:hAnsi="Times New Roman" w:cs="Times New Roman"/>
          <w:sz w:val="28"/>
          <w:szCs w:val="28"/>
        </w:rPr>
        <w:t>to</w:t>
      </w:r>
      <w:r w:rsidR="00F93224" w:rsidRPr="0034141A">
        <w:rPr>
          <w:rFonts w:ascii="Times New Roman" w:hAnsi="Times New Roman" w:cs="Times New Roman"/>
          <w:sz w:val="28"/>
          <w:szCs w:val="28"/>
        </w:rPr>
        <w:t xml:space="preserve"> </w:t>
      </w:r>
      <w:r w:rsidR="0058451E" w:rsidRPr="0034141A">
        <w:rPr>
          <w:rFonts w:ascii="Times New Roman" w:hAnsi="Times New Roman" w:cs="Times New Roman"/>
          <w:sz w:val="28"/>
          <w:szCs w:val="28"/>
        </w:rPr>
        <w:t>every other state</w:t>
      </w:r>
      <w:r w:rsidR="00F93224" w:rsidRPr="0034141A">
        <w:rPr>
          <w:rFonts w:ascii="Times New Roman" w:hAnsi="Times New Roman" w:cs="Times New Roman"/>
          <w:sz w:val="28"/>
          <w:szCs w:val="28"/>
        </w:rPr>
        <w:t xml:space="preserve">.  The reason for this </w:t>
      </w:r>
      <w:r w:rsidR="00604FA3" w:rsidRPr="0034141A">
        <w:rPr>
          <w:rFonts w:ascii="Times New Roman" w:hAnsi="Times New Roman" w:cs="Times New Roman"/>
          <w:sz w:val="28"/>
          <w:szCs w:val="28"/>
        </w:rPr>
        <w:t xml:space="preserve">void </w:t>
      </w:r>
      <w:r w:rsidR="00F93224" w:rsidRPr="0034141A">
        <w:rPr>
          <w:rFonts w:ascii="Times New Roman" w:hAnsi="Times New Roman" w:cs="Times New Roman"/>
          <w:sz w:val="28"/>
          <w:szCs w:val="28"/>
        </w:rPr>
        <w:t xml:space="preserve">is </w:t>
      </w:r>
      <w:r w:rsidR="00DE4C52">
        <w:rPr>
          <w:rFonts w:ascii="Times New Roman" w:hAnsi="Times New Roman" w:cs="Times New Roman"/>
          <w:sz w:val="28"/>
          <w:szCs w:val="28"/>
        </w:rPr>
        <w:t xml:space="preserve">that </w:t>
      </w:r>
      <w:r w:rsidR="00F93224" w:rsidRPr="0034141A">
        <w:rPr>
          <w:rFonts w:ascii="Times New Roman" w:hAnsi="Times New Roman" w:cs="Times New Roman"/>
          <w:sz w:val="28"/>
          <w:szCs w:val="28"/>
        </w:rPr>
        <w:t xml:space="preserve">there is no such case.  As Professor </w:t>
      </w:r>
      <w:proofErr w:type="spellStart"/>
      <w:r w:rsidR="00F93224" w:rsidRPr="0034141A">
        <w:rPr>
          <w:rFonts w:ascii="Times New Roman" w:hAnsi="Times New Roman" w:cs="Times New Roman"/>
          <w:sz w:val="28"/>
          <w:szCs w:val="28"/>
        </w:rPr>
        <w:t>Hellerstein</w:t>
      </w:r>
      <w:proofErr w:type="spellEnd"/>
      <w:r w:rsidR="00F93224" w:rsidRPr="0034141A">
        <w:rPr>
          <w:rFonts w:ascii="Times New Roman" w:hAnsi="Times New Roman" w:cs="Times New Roman"/>
          <w:sz w:val="28"/>
          <w:szCs w:val="28"/>
        </w:rPr>
        <w:t xml:space="preserve">, </w:t>
      </w:r>
      <w:r w:rsidR="00DE4C52">
        <w:rPr>
          <w:rFonts w:ascii="Times New Roman" w:hAnsi="Times New Roman" w:cs="Times New Roman"/>
          <w:sz w:val="28"/>
          <w:szCs w:val="28"/>
        </w:rPr>
        <w:t>often cited by this Court and many courts around the country</w:t>
      </w:r>
      <w:r w:rsidR="00F93224" w:rsidRPr="0034141A">
        <w:rPr>
          <w:rFonts w:ascii="Times New Roman" w:hAnsi="Times New Roman" w:cs="Times New Roman"/>
          <w:sz w:val="28"/>
          <w:szCs w:val="28"/>
        </w:rPr>
        <w:t xml:space="preserve">, states “The </w:t>
      </w:r>
      <w:r w:rsidR="00F036C3" w:rsidRPr="0034141A">
        <w:rPr>
          <w:rFonts w:ascii="Times New Roman" w:hAnsi="Times New Roman" w:cs="Times New Roman"/>
          <w:sz w:val="28"/>
          <w:szCs w:val="28"/>
        </w:rPr>
        <w:t xml:space="preserve">question then arises as to whether the Commerce Clause requires </w:t>
      </w:r>
      <w:r w:rsidR="00F10506" w:rsidRPr="0034141A">
        <w:rPr>
          <w:rFonts w:ascii="Times New Roman" w:hAnsi="Times New Roman" w:cs="Times New Roman"/>
          <w:sz w:val="28"/>
          <w:szCs w:val="28"/>
        </w:rPr>
        <w:t xml:space="preserve">Resident State nevertheless to grant a credit for taxes that Source State has permissibly imposed in order to avoid the resulting risk, if not actuality, of multiple taxation.  </w:t>
      </w:r>
      <w:r w:rsidR="00F10506" w:rsidRPr="0034141A">
        <w:rPr>
          <w:rFonts w:ascii="Times New Roman" w:hAnsi="Times New Roman" w:cs="Times New Roman"/>
          <w:b/>
          <w:i/>
          <w:sz w:val="28"/>
          <w:szCs w:val="28"/>
        </w:rPr>
        <w:t>The answer to this question is by no means clear</w:t>
      </w:r>
      <w:r w:rsidR="00F10506" w:rsidRPr="0034141A">
        <w:rPr>
          <w:rFonts w:ascii="Times New Roman" w:hAnsi="Times New Roman" w:cs="Times New Roman"/>
          <w:sz w:val="28"/>
          <w:szCs w:val="28"/>
        </w:rPr>
        <w:t xml:space="preserve">, because it involves the reconciliation of two Commerce Clause principles that are in some tension with one another.” </w:t>
      </w:r>
      <w:r w:rsidR="00D15D84" w:rsidRPr="0034141A">
        <w:rPr>
          <w:rFonts w:ascii="Times New Roman" w:hAnsi="Times New Roman" w:cs="Times New Roman"/>
          <w:i/>
          <w:sz w:val="28"/>
          <w:szCs w:val="28"/>
        </w:rPr>
        <w:t>Hellerstein</w:t>
      </w:r>
      <w:r w:rsidR="00D15D84" w:rsidRPr="0034141A">
        <w:rPr>
          <w:rFonts w:ascii="Times New Roman" w:hAnsi="Times New Roman" w:cs="Times New Roman"/>
          <w:sz w:val="28"/>
          <w:szCs w:val="28"/>
        </w:rPr>
        <w:t>, State Taxation: 3rd Edition, ¶ 20.10[2</w:t>
      </w:r>
      <w:proofErr w:type="gramStart"/>
      <w:r w:rsidR="00D15D84" w:rsidRPr="0034141A">
        <w:rPr>
          <w:rFonts w:ascii="Times New Roman" w:hAnsi="Times New Roman" w:cs="Times New Roman"/>
          <w:sz w:val="28"/>
          <w:szCs w:val="28"/>
        </w:rPr>
        <w:t>][</w:t>
      </w:r>
      <w:proofErr w:type="gramEnd"/>
      <w:r w:rsidR="00D15D84" w:rsidRPr="0034141A">
        <w:rPr>
          <w:rFonts w:ascii="Times New Roman" w:hAnsi="Times New Roman" w:cs="Times New Roman"/>
          <w:sz w:val="28"/>
          <w:szCs w:val="28"/>
        </w:rPr>
        <w:t xml:space="preserve">b] </w:t>
      </w:r>
      <w:r w:rsidR="00F10506" w:rsidRPr="0034141A">
        <w:rPr>
          <w:rFonts w:ascii="Times New Roman" w:hAnsi="Times New Roman" w:cs="Times New Roman"/>
          <w:sz w:val="28"/>
          <w:szCs w:val="28"/>
        </w:rPr>
        <w:t xml:space="preserve">(emphasis added). </w:t>
      </w:r>
    </w:p>
    <w:p w:rsidR="00EB5845" w:rsidRDefault="00797E10" w:rsidP="00EB5845">
      <w:pPr>
        <w:jc w:val="both"/>
        <w:rPr>
          <w:rFonts w:ascii="Times New Roman" w:hAnsi="Times New Roman"/>
          <w:bCs/>
          <w:color w:val="000000" w:themeColor="text1"/>
          <w:sz w:val="28"/>
          <w:szCs w:val="28"/>
        </w:rPr>
      </w:pPr>
      <w:r>
        <w:rPr>
          <w:rFonts w:ascii="Times New Roman" w:hAnsi="Times New Roman" w:cs="Times New Roman"/>
          <w:sz w:val="28"/>
          <w:szCs w:val="28"/>
        </w:rPr>
        <w:tab/>
      </w:r>
      <w:r w:rsidR="00276756">
        <w:rPr>
          <w:rFonts w:ascii="Times New Roman" w:hAnsi="Times New Roman" w:cs="Times New Roman"/>
          <w:sz w:val="28"/>
          <w:szCs w:val="28"/>
        </w:rPr>
        <w:t xml:space="preserve">The </w:t>
      </w:r>
      <w:r w:rsidR="007E44FE">
        <w:rPr>
          <w:rFonts w:ascii="Times New Roman" w:hAnsi="Times New Roman" w:cs="Times New Roman"/>
          <w:sz w:val="28"/>
          <w:szCs w:val="28"/>
        </w:rPr>
        <w:t xml:space="preserve">ambiguity surrounding this issue is even more apparent when the </w:t>
      </w:r>
      <w:r w:rsidR="00032719">
        <w:rPr>
          <w:rFonts w:ascii="Times New Roman" w:hAnsi="Times New Roman" w:cs="Times New Roman"/>
          <w:sz w:val="28"/>
          <w:szCs w:val="28"/>
        </w:rPr>
        <w:t xml:space="preserve">Maryland </w:t>
      </w:r>
      <w:r w:rsidR="00276756">
        <w:rPr>
          <w:rFonts w:ascii="Times New Roman" w:hAnsi="Times New Roman" w:cs="Times New Roman"/>
          <w:sz w:val="28"/>
          <w:szCs w:val="28"/>
        </w:rPr>
        <w:t>Court</w:t>
      </w:r>
      <w:r w:rsidR="00283714">
        <w:rPr>
          <w:rFonts w:ascii="Times New Roman" w:hAnsi="Times New Roman" w:cs="Times New Roman"/>
          <w:sz w:val="28"/>
          <w:szCs w:val="28"/>
        </w:rPr>
        <w:t>’s</w:t>
      </w:r>
      <w:r w:rsidR="00276756">
        <w:rPr>
          <w:rFonts w:ascii="Times New Roman" w:hAnsi="Times New Roman" w:cs="Times New Roman"/>
          <w:sz w:val="28"/>
          <w:szCs w:val="28"/>
        </w:rPr>
        <w:t xml:space="preserve"> of Appeals holding </w:t>
      </w:r>
      <w:r w:rsidR="007E44FE">
        <w:rPr>
          <w:rFonts w:ascii="Times New Roman" w:hAnsi="Times New Roman" w:cs="Times New Roman"/>
          <w:sz w:val="28"/>
          <w:szCs w:val="28"/>
        </w:rPr>
        <w:t xml:space="preserve">is </w:t>
      </w:r>
      <w:r w:rsidR="00C96199">
        <w:rPr>
          <w:rFonts w:ascii="Times New Roman" w:hAnsi="Times New Roman" w:cs="Times New Roman"/>
          <w:sz w:val="28"/>
          <w:szCs w:val="28"/>
        </w:rPr>
        <w:t>reviewed</w:t>
      </w:r>
      <w:r w:rsidR="00032719">
        <w:rPr>
          <w:rFonts w:ascii="Times New Roman" w:hAnsi="Times New Roman" w:cs="Times New Roman"/>
          <w:sz w:val="28"/>
          <w:szCs w:val="28"/>
        </w:rPr>
        <w:t xml:space="preserve"> in the context of</w:t>
      </w:r>
      <w:r w:rsidR="007E44FE">
        <w:rPr>
          <w:rFonts w:ascii="Times New Roman" w:hAnsi="Times New Roman" w:cs="Times New Roman"/>
          <w:sz w:val="28"/>
          <w:szCs w:val="28"/>
        </w:rPr>
        <w:t xml:space="preserve"> </w:t>
      </w:r>
      <w:r w:rsidR="00FF3E86">
        <w:rPr>
          <w:rFonts w:ascii="Times New Roman" w:hAnsi="Times New Roman" w:cs="Times New Roman"/>
          <w:sz w:val="28"/>
          <w:szCs w:val="28"/>
        </w:rPr>
        <w:t xml:space="preserve">out-of-state tax credit </w:t>
      </w:r>
      <w:r w:rsidR="00276756">
        <w:rPr>
          <w:rFonts w:ascii="Times New Roman" w:hAnsi="Times New Roman" w:cs="Times New Roman"/>
          <w:sz w:val="28"/>
          <w:szCs w:val="28"/>
        </w:rPr>
        <w:t>decisions in other jurisdictions</w:t>
      </w:r>
      <w:r w:rsidR="003C2C37">
        <w:rPr>
          <w:rFonts w:ascii="Times New Roman" w:hAnsi="Times New Roman" w:cs="Times New Roman"/>
          <w:sz w:val="28"/>
          <w:szCs w:val="28"/>
        </w:rPr>
        <w:t>.</w:t>
      </w:r>
      <w:r w:rsidR="00276756">
        <w:rPr>
          <w:rFonts w:ascii="Times New Roman" w:hAnsi="Times New Roman" w:cs="Times New Roman"/>
          <w:sz w:val="28"/>
          <w:szCs w:val="28"/>
        </w:rPr>
        <w:t xml:space="preserve">  </w:t>
      </w:r>
      <w:r w:rsidR="00C96199">
        <w:rPr>
          <w:rFonts w:ascii="Times New Roman" w:hAnsi="Times New Roman" w:cs="Times New Roman"/>
          <w:sz w:val="28"/>
          <w:szCs w:val="28"/>
        </w:rPr>
        <w:t xml:space="preserve">For example, </w:t>
      </w:r>
      <w:r w:rsidR="008D60A6">
        <w:rPr>
          <w:rFonts w:ascii="Times New Roman" w:hAnsi="Times New Roman" w:cs="Times New Roman"/>
          <w:sz w:val="28"/>
          <w:szCs w:val="28"/>
        </w:rPr>
        <w:t xml:space="preserve">New York’s highest </w:t>
      </w:r>
      <w:r w:rsidR="00946664">
        <w:rPr>
          <w:rFonts w:ascii="Times New Roman" w:hAnsi="Times New Roman" w:cs="Times New Roman"/>
          <w:sz w:val="28"/>
          <w:szCs w:val="28"/>
        </w:rPr>
        <w:t xml:space="preserve">court </w:t>
      </w:r>
      <w:r w:rsidR="008D60A6">
        <w:rPr>
          <w:rFonts w:ascii="Times New Roman" w:hAnsi="Times New Roman" w:cs="Times New Roman"/>
          <w:sz w:val="28"/>
          <w:szCs w:val="28"/>
        </w:rPr>
        <w:t xml:space="preserve">has expressly found that an </w:t>
      </w:r>
      <w:r w:rsidRPr="0034141A">
        <w:rPr>
          <w:rFonts w:ascii="Times New Roman" w:hAnsi="Times New Roman" w:cs="Times New Roman"/>
          <w:sz w:val="28"/>
          <w:szCs w:val="28"/>
        </w:rPr>
        <w:t xml:space="preserve">individual taxpayer residing in one state who is disallowed a tax credit for income taxes paid in another state </w:t>
      </w:r>
      <w:r w:rsidR="008D60A6">
        <w:rPr>
          <w:rFonts w:ascii="Times New Roman" w:hAnsi="Times New Roman" w:cs="Times New Roman"/>
          <w:sz w:val="28"/>
          <w:szCs w:val="28"/>
        </w:rPr>
        <w:t xml:space="preserve">does NOT </w:t>
      </w:r>
      <w:r w:rsidRPr="0034141A">
        <w:rPr>
          <w:rFonts w:ascii="Times New Roman" w:hAnsi="Times New Roman" w:cs="Times New Roman"/>
          <w:sz w:val="28"/>
          <w:szCs w:val="28"/>
        </w:rPr>
        <w:t xml:space="preserve">implicate interstate commerce or the dormant Commerce Clause.  </w:t>
      </w:r>
      <w:proofErr w:type="spellStart"/>
      <w:r w:rsidRPr="0034141A">
        <w:rPr>
          <w:rFonts w:ascii="Times New Roman" w:hAnsi="Times New Roman" w:cs="Times New Roman"/>
          <w:i/>
          <w:sz w:val="28"/>
          <w:szCs w:val="28"/>
        </w:rPr>
        <w:t>Tamagni</w:t>
      </w:r>
      <w:proofErr w:type="spellEnd"/>
      <w:r w:rsidRPr="0034141A">
        <w:rPr>
          <w:rFonts w:ascii="Times New Roman" w:hAnsi="Times New Roman" w:cs="Times New Roman"/>
          <w:i/>
          <w:sz w:val="28"/>
          <w:szCs w:val="28"/>
        </w:rPr>
        <w:t xml:space="preserve"> v. Tax Appeals Tribunal,</w:t>
      </w:r>
      <w:r w:rsidRPr="0034141A">
        <w:rPr>
          <w:rFonts w:ascii="Times New Roman" w:hAnsi="Times New Roman" w:cs="Times New Roman"/>
          <w:sz w:val="28"/>
          <w:szCs w:val="28"/>
        </w:rPr>
        <w:t xml:space="preserve"> 695 N.E.2d 1125 (N.Y. 1998).  As the court said there, “</w:t>
      </w:r>
      <w:r w:rsidR="00C0595E">
        <w:rPr>
          <w:rFonts w:ascii="Times New Roman" w:hAnsi="Times New Roman" w:cs="Times New Roman"/>
          <w:sz w:val="28"/>
          <w:szCs w:val="28"/>
        </w:rPr>
        <w:t>[t]</w:t>
      </w:r>
      <w:r w:rsidRPr="0034141A">
        <w:rPr>
          <w:rFonts w:ascii="Times New Roman" w:hAnsi="Times New Roman" w:cs="Times New Roman"/>
          <w:sz w:val="28"/>
          <w:szCs w:val="28"/>
        </w:rPr>
        <w:t xml:space="preserve">he New York income tax operates to tax residents as residents of this State, without regard to their activities in other states; so long as this State’s definition of resident does not violate due process (and there is no claim here that it does), no violation of the dormant Commerce Clause is apparent.” </w:t>
      </w:r>
      <w:proofErr w:type="gramStart"/>
      <w:r w:rsidRPr="0034141A">
        <w:rPr>
          <w:rFonts w:ascii="Times New Roman" w:hAnsi="Times New Roman" w:cs="Times New Roman"/>
          <w:sz w:val="28"/>
          <w:szCs w:val="28"/>
        </w:rPr>
        <w:t>(</w:t>
      </w:r>
      <w:r w:rsidRPr="0034141A">
        <w:rPr>
          <w:rFonts w:ascii="Times New Roman" w:hAnsi="Times New Roman" w:cs="Times New Roman"/>
          <w:i/>
          <w:sz w:val="28"/>
          <w:szCs w:val="28"/>
        </w:rPr>
        <w:t>Id</w:t>
      </w:r>
      <w:r w:rsidRPr="0034141A">
        <w:rPr>
          <w:rFonts w:ascii="Times New Roman" w:hAnsi="Times New Roman" w:cs="Times New Roman"/>
          <w:sz w:val="28"/>
          <w:szCs w:val="28"/>
        </w:rPr>
        <w:t>. at 1134).</w:t>
      </w:r>
      <w:proofErr w:type="gramEnd"/>
      <w:r w:rsidR="003C2C37">
        <w:rPr>
          <w:rFonts w:ascii="Times New Roman" w:hAnsi="Times New Roman" w:cs="Times New Roman"/>
          <w:sz w:val="28"/>
          <w:szCs w:val="28"/>
        </w:rPr>
        <w:t xml:space="preserve">  </w:t>
      </w:r>
      <w:r w:rsidR="007E44FE">
        <w:rPr>
          <w:rFonts w:ascii="Times New Roman" w:hAnsi="Times New Roman" w:cs="Times New Roman"/>
          <w:sz w:val="28"/>
          <w:szCs w:val="28"/>
        </w:rPr>
        <w:t>Similarly, t</w:t>
      </w:r>
      <w:r w:rsidR="00946664">
        <w:rPr>
          <w:rFonts w:ascii="Times New Roman" w:hAnsi="Times New Roman" w:cs="Times New Roman"/>
          <w:sz w:val="28"/>
          <w:szCs w:val="28"/>
        </w:rPr>
        <w:t xml:space="preserve">he Supreme Court of Connecticut has held that the dormant Commerce Clause does not invalidate Connecticut’s failure to allow a credit for income taxes paid out of state. </w:t>
      </w:r>
      <w:proofErr w:type="gramStart"/>
      <w:r w:rsidR="003C2C37" w:rsidRPr="003C2C37">
        <w:rPr>
          <w:rFonts w:ascii="Times New Roman" w:hAnsi="Times New Roman" w:cs="Times New Roman"/>
          <w:i/>
          <w:sz w:val="28"/>
          <w:szCs w:val="28"/>
        </w:rPr>
        <w:t>Chase Manhattan Bank v. Gavin</w:t>
      </w:r>
      <w:r w:rsidR="003C2C37" w:rsidRPr="003C2C37">
        <w:rPr>
          <w:rFonts w:ascii="Times New Roman" w:hAnsi="Times New Roman" w:cs="Times New Roman"/>
          <w:sz w:val="28"/>
          <w:szCs w:val="28"/>
        </w:rPr>
        <w:t>, 249 Conn. 172, 733 A2d 782, 805 (1999</w:t>
      </w:r>
      <w:r w:rsidR="00EB5845">
        <w:rPr>
          <w:rFonts w:ascii="Times New Roman" w:hAnsi="Times New Roman" w:cs="Times New Roman"/>
          <w:sz w:val="28"/>
          <w:szCs w:val="28"/>
        </w:rPr>
        <w:t>).</w:t>
      </w:r>
      <w:proofErr w:type="gramEnd"/>
      <w:r w:rsidR="00EB5845">
        <w:rPr>
          <w:rFonts w:ascii="Times New Roman" w:hAnsi="Times New Roman" w:cs="Times New Roman"/>
          <w:sz w:val="28"/>
          <w:szCs w:val="28"/>
        </w:rPr>
        <w:t xml:space="preserve">  I</w:t>
      </w:r>
      <w:r w:rsidR="00946664">
        <w:rPr>
          <w:rFonts w:ascii="Times New Roman" w:hAnsi="Times New Roman" w:cs="Times New Roman"/>
          <w:sz w:val="28"/>
          <w:szCs w:val="28"/>
        </w:rPr>
        <w:t xml:space="preserve">n </w:t>
      </w:r>
      <w:proofErr w:type="spellStart"/>
      <w:r w:rsidR="00946664" w:rsidRPr="003C2C37">
        <w:rPr>
          <w:rFonts w:ascii="Times New Roman" w:hAnsi="Times New Roman" w:cs="Times New Roman"/>
          <w:i/>
          <w:sz w:val="28"/>
          <w:szCs w:val="28"/>
        </w:rPr>
        <w:t>Christman</w:t>
      </w:r>
      <w:proofErr w:type="spellEnd"/>
      <w:r w:rsidR="00946664" w:rsidRPr="003C2C37">
        <w:rPr>
          <w:rFonts w:ascii="Times New Roman" w:hAnsi="Times New Roman" w:cs="Times New Roman"/>
          <w:i/>
          <w:sz w:val="28"/>
          <w:szCs w:val="28"/>
        </w:rPr>
        <w:t xml:space="preserve"> v. Franchise Tax Bd</w:t>
      </w:r>
      <w:r w:rsidR="00946664" w:rsidRPr="003C2C37">
        <w:rPr>
          <w:rFonts w:ascii="Times New Roman" w:hAnsi="Times New Roman" w:cs="Times New Roman"/>
          <w:sz w:val="28"/>
          <w:szCs w:val="28"/>
        </w:rPr>
        <w:t xml:space="preserve">., 64 Cal. App. 3d 751, 131 Cal. </w:t>
      </w:r>
      <w:proofErr w:type="spellStart"/>
      <w:r w:rsidR="00946664" w:rsidRPr="003C2C37">
        <w:rPr>
          <w:rFonts w:ascii="Times New Roman" w:hAnsi="Times New Roman" w:cs="Times New Roman"/>
          <w:sz w:val="28"/>
          <w:szCs w:val="28"/>
        </w:rPr>
        <w:t>Rptr</w:t>
      </w:r>
      <w:proofErr w:type="spellEnd"/>
      <w:r w:rsidR="00946664" w:rsidRPr="003C2C37">
        <w:rPr>
          <w:rFonts w:ascii="Times New Roman" w:hAnsi="Times New Roman" w:cs="Times New Roman"/>
          <w:sz w:val="28"/>
          <w:szCs w:val="28"/>
        </w:rPr>
        <w:t xml:space="preserve">. 725, 732 (2d Dist. 1976); </w:t>
      </w:r>
      <w:r w:rsidR="00946664">
        <w:rPr>
          <w:rFonts w:ascii="Times New Roman" w:hAnsi="Times New Roman" w:cs="Times New Roman"/>
          <w:sz w:val="28"/>
          <w:szCs w:val="28"/>
        </w:rPr>
        <w:t xml:space="preserve">the California Court of Appeals upheld that state’s denial of a credit for income </w:t>
      </w:r>
      <w:r w:rsidR="00946664" w:rsidRPr="007E44FE">
        <w:rPr>
          <w:rFonts w:ascii="Times New Roman" w:hAnsi="Times New Roman" w:cs="Times New Roman"/>
          <w:sz w:val="28"/>
          <w:szCs w:val="28"/>
        </w:rPr>
        <w:t xml:space="preserve">taxes paid by a California resident on Subchapter S income generated </w:t>
      </w:r>
      <w:r w:rsidR="00946664" w:rsidRPr="007E44FE">
        <w:rPr>
          <w:rFonts w:ascii="Times New Roman" w:hAnsi="Times New Roman" w:cs="Times New Roman"/>
          <w:sz w:val="28"/>
          <w:szCs w:val="28"/>
        </w:rPr>
        <w:lastRenderedPageBreak/>
        <w:t>in Georgia.</w:t>
      </w:r>
      <w:r w:rsidR="004521B9">
        <w:rPr>
          <w:rStyle w:val="FootnoteReference"/>
          <w:rFonts w:ascii="Times New Roman" w:hAnsi="Times New Roman"/>
          <w:sz w:val="28"/>
          <w:szCs w:val="28"/>
        </w:rPr>
        <w:footnoteReference w:id="4"/>
      </w:r>
      <w:r w:rsidR="00946664" w:rsidRPr="007E44FE">
        <w:rPr>
          <w:rFonts w:ascii="Times New Roman" w:hAnsi="Times New Roman" w:cs="Times New Roman"/>
          <w:sz w:val="28"/>
          <w:szCs w:val="28"/>
        </w:rPr>
        <w:t xml:space="preserve"> </w:t>
      </w:r>
      <w:r w:rsidR="007E44FE" w:rsidRPr="007E44FE">
        <w:rPr>
          <w:rFonts w:ascii="Times New Roman" w:hAnsi="Times New Roman" w:cs="Times New Roman"/>
          <w:sz w:val="28"/>
          <w:szCs w:val="28"/>
        </w:rPr>
        <w:t xml:space="preserve"> </w:t>
      </w:r>
      <w:r w:rsidR="007E44FE" w:rsidRPr="00156A39">
        <w:rPr>
          <w:rFonts w:ascii="Times New Roman" w:hAnsi="Times New Roman" w:cs="Times New Roman"/>
          <w:sz w:val="28"/>
          <w:szCs w:val="28"/>
        </w:rPr>
        <w:t xml:space="preserve">Likewise in </w:t>
      </w:r>
      <w:r w:rsidR="007E44FE" w:rsidRPr="00156A39">
        <w:rPr>
          <w:rFonts w:ascii="Times New Roman" w:hAnsi="Times New Roman" w:cs="Times New Roman"/>
          <w:bCs/>
          <w:i/>
          <w:sz w:val="28"/>
          <w:szCs w:val="28"/>
        </w:rPr>
        <w:t xml:space="preserve">Boone v. </w:t>
      </w:r>
      <w:proofErr w:type="spellStart"/>
      <w:r w:rsidR="007E44FE" w:rsidRPr="00156A39">
        <w:rPr>
          <w:rFonts w:ascii="Times New Roman" w:hAnsi="Times New Roman" w:cs="Times New Roman"/>
          <w:bCs/>
          <w:i/>
          <w:sz w:val="28"/>
          <w:szCs w:val="28"/>
        </w:rPr>
        <w:t>Chumley</w:t>
      </w:r>
      <w:proofErr w:type="spellEnd"/>
      <w:r w:rsidR="007E44FE" w:rsidRPr="00156A39">
        <w:rPr>
          <w:rFonts w:ascii="Times New Roman" w:hAnsi="Times New Roman" w:cs="Times New Roman"/>
          <w:bCs/>
          <w:sz w:val="28"/>
          <w:szCs w:val="28"/>
        </w:rPr>
        <w:t>, 372 S.W.3d 104 (2011)</w:t>
      </w:r>
      <w:r w:rsidR="007E44FE" w:rsidRPr="00156A39">
        <w:rPr>
          <w:rFonts w:ascii="Times New Roman" w:hAnsi="Times New Roman" w:cs="Times New Roman"/>
          <w:b/>
          <w:bCs/>
          <w:sz w:val="28"/>
          <w:szCs w:val="28"/>
        </w:rPr>
        <w:t xml:space="preserve">, </w:t>
      </w:r>
      <w:r w:rsidR="007E44FE" w:rsidRPr="00156A39">
        <w:rPr>
          <w:rFonts w:ascii="Times New Roman" w:hAnsi="Times New Roman" w:cs="Times New Roman"/>
          <w:bCs/>
          <w:sz w:val="28"/>
          <w:szCs w:val="28"/>
        </w:rPr>
        <w:t xml:space="preserve">the Tennessee court of appeals upheld a denial of credit for Tennessee residents who paid taxes to South Carolina on Subchapter S income and held that Tennessee’s refusal to provide a credit did not violate the dormant Commerce Clause.  </w:t>
      </w:r>
      <w:r w:rsidR="007972A6" w:rsidRPr="00156A39">
        <w:rPr>
          <w:rFonts w:ascii="Times New Roman" w:hAnsi="Times New Roman" w:cs="Times New Roman"/>
          <w:sz w:val="28"/>
          <w:szCs w:val="28"/>
        </w:rPr>
        <w:t xml:space="preserve">As the foregoing demonstrates, </w:t>
      </w:r>
      <w:r w:rsidR="00EB5845" w:rsidRPr="00156A39">
        <w:rPr>
          <w:rFonts w:ascii="Times New Roman" w:hAnsi="Times New Roman"/>
          <w:bCs/>
          <w:sz w:val="28"/>
          <w:szCs w:val="28"/>
        </w:rPr>
        <w:t>“[n]either the federal nor state constitutions require a state to provide an income tax credit for income taxed by a foreign jurisdiction” but that rather, a “[c]</w:t>
      </w:r>
      <w:proofErr w:type="spellStart"/>
      <w:r w:rsidR="00EB5845" w:rsidRPr="00156A39">
        <w:rPr>
          <w:rFonts w:ascii="Times New Roman" w:hAnsi="Times New Roman"/>
          <w:bCs/>
          <w:sz w:val="28"/>
          <w:szCs w:val="28"/>
        </w:rPr>
        <w:t>redit</w:t>
      </w:r>
      <w:proofErr w:type="spellEnd"/>
      <w:r w:rsidR="00EB5845" w:rsidRPr="00156A39">
        <w:rPr>
          <w:rFonts w:ascii="Times New Roman" w:hAnsi="Times New Roman"/>
          <w:bCs/>
          <w:sz w:val="28"/>
          <w:szCs w:val="28"/>
        </w:rPr>
        <w:t xml:space="preserve"> is a matter of grace and a state may impose conditions on its application.”</w:t>
      </w:r>
      <w:r w:rsidR="00C64C07">
        <w:rPr>
          <w:rFonts w:ascii="Times New Roman" w:hAnsi="Times New Roman"/>
          <w:bCs/>
          <w:color w:val="000000" w:themeColor="text1"/>
          <w:sz w:val="28"/>
          <w:szCs w:val="28"/>
        </w:rPr>
        <w:t xml:space="preserve">  </w:t>
      </w:r>
      <w:r w:rsidR="007972A6" w:rsidRPr="00721886">
        <w:rPr>
          <w:rFonts w:ascii="Times New Roman" w:hAnsi="Times New Roman"/>
          <w:bCs/>
          <w:i/>
          <w:color w:val="000000" w:themeColor="text1"/>
          <w:sz w:val="28"/>
          <w:szCs w:val="28"/>
        </w:rPr>
        <w:t>Laurite v. Director, Division of Taxation</w:t>
      </w:r>
      <w:r w:rsidR="007972A6" w:rsidRPr="00721886">
        <w:rPr>
          <w:rFonts w:ascii="Times New Roman" w:hAnsi="Times New Roman"/>
          <w:bCs/>
          <w:color w:val="000000" w:themeColor="text1"/>
          <w:sz w:val="28"/>
          <w:szCs w:val="28"/>
        </w:rPr>
        <w:t>, 12 N.J. Tax 483, 492 (1992)</w:t>
      </w:r>
      <w:r w:rsidR="007972A6">
        <w:rPr>
          <w:rFonts w:ascii="Times New Roman" w:hAnsi="Times New Roman"/>
          <w:bCs/>
          <w:color w:val="000000" w:themeColor="text1"/>
          <w:sz w:val="28"/>
          <w:szCs w:val="28"/>
        </w:rPr>
        <w:t>,</w:t>
      </w:r>
    </w:p>
    <w:p w:rsidR="00A744ED" w:rsidRDefault="00905EAA" w:rsidP="00A744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This Court, too, has previously discussed the dormant Commerce Clause </w:t>
      </w:r>
      <w:proofErr w:type="spellStart"/>
      <w:proofErr w:type="gramStart"/>
      <w:r>
        <w:rPr>
          <w:rFonts w:ascii="Times New Roman" w:hAnsi="Times New Roman" w:cs="Times New Roman"/>
          <w:sz w:val="28"/>
          <w:szCs w:val="28"/>
        </w:rPr>
        <w:t>vis</w:t>
      </w:r>
      <w:proofErr w:type="spellEnd"/>
      <w:proofErr w:type="gramEnd"/>
      <w:r>
        <w:rPr>
          <w:rFonts w:ascii="Times New Roman" w:hAnsi="Times New Roman" w:cs="Times New Roman"/>
          <w:sz w:val="28"/>
          <w:szCs w:val="28"/>
        </w:rPr>
        <w:t xml:space="preserve"> a </w:t>
      </w:r>
      <w:proofErr w:type="spellStart"/>
      <w:r>
        <w:rPr>
          <w:rFonts w:ascii="Times New Roman" w:hAnsi="Times New Roman" w:cs="Times New Roman"/>
          <w:sz w:val="28"/>
          <w:szCs w:val="28"/>
        </w:rPr>
        <w:t>vis</w:t>
      </w:r>
      <w:proofErr w:type="spellEnd"/>
      <w:r>
        <w:rPr>
          <w:rFonts w:ascii="Times New Roman" w:hAnsi="Times New Roman" w:cs="Times New Roman"/>
          <w:sz w:val="28"/>
          <w:szCs w:val="28"/>
        </w:rPr>
        <w:t xml:space="preserve"> a state’s income tax scheme. </w:t>
      </w:r>
      <w:r w:rsidR="00A744ED">
        <w:rPr>
          <w:rFonts w:ascii="Times New Roman" w:hAnsi="Times New Roman" w:cs="Times New Roman"/>
          <w:sz w:val="28"/>
          <w:szCs w:val="28"/>
        </w:rPr>
        <w:t>Addressing the State of Mississippi’s income tax on the income of a resident who earned income in Tennessee, the Court recognized the authority of the State to tax out of state income and gave convincing support for doing so:</w:t>
      </w:r>
    </w:p>
    <w:p w:rsidR="00A744ED" w:rsidRDefault="00A744ED" w:rsidP="00A744ED">
      <w:pPr>
        <w:spacing w:after="0" w:line="240" w:lineRule="auto"/>
        <w:jc w:val="both"/>
        <w:rPr>
          <w:rFonts w:ascii="Times New Roman" w:hAnsi="Times New Roman" w:cs="Times New Roman"/>
          <w:sz w:val="28"/>
          <w:szCs w:val="28"/>
        </w:rPr>
      </w:pPr>
    </w:p>
    <w:p w:rsidR="00A744ED" w:rsidRDefault="00A744ED" w:rsidP="00A744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83FA9">
        <w:rPr>
          <w:rFonts w:ascii="Times New Roman" w:hAnsi="Times New Roman" w:cs="Times New Roman"/>
          <w:sz w:val="28"/>
          <w:szCs w:val="28"/>
        </w:rPr>
        <w:t xml:space="preserve">The obligation of one domiciled within a state to pay taxes there, arises from </w:t>
      </w:r>
      <w:r>
        <w:rPr>
          <w:rFonts w:ascii="Times New Roman" w:hAnsi="Times New Roman" w:cs="Times New Roman"/>
          <w:sz w:val="28"/>
          <w:szCs w:val="28"/>
        </w:rPr>
        <w:tab/>
      </w:r>
      <w:r w:rsidRPr="00E83FA9">
        <w:rPr>
          <w:rFonts w:ascii="Times New Roman" w:hAnsi="Times New Roman" w:cs="Times New Roman"/>
          <w:sz w:val="28"/>
          <w:szCs w:val="28"/>
        </w:rPr>
        <w:t xml:space="preserve">unilateral action of the state government in the exercise of the most plenary </w:t>
      </w:r>
      <w:r>
        <w:rPr>
          <w:rFonts w:ascii="Times New Roman" w:hAnsi="Times New Roman" w:cs="Times New Roman"/>
          <w:sz w:val="28"/>
          <w:szCs w:val="28"/>
        </w:rPr>
        <w:tab/>
      </w:r>
      <w:r w:rsidRPr="00E83FA9">
        <w:rPr>
          <w:rFonts w:ascii="Times New Roman" w:hAnsi="Times New Roman" w:cs="Times New Roman"/>
          <w:sz w:val="28"/>
          <w:szCs w:val="28"/>
        </w:rPr>
        <w:t xml:space="preserve">of sovereign powers, that to raise revenue to defray the expenses of </w:t>
      </w:r>
      <w:r>
        <w:rPr>
          <w:rFonts w:ascii="Times New Roman" w:hAnsi="Times New Roman" w:cs="Times New Roman"/>
          <w:sz w:val="28"/>
          <w:szCs w:val="28"/>
        </w:rPr>
        <w:tab/>
      </w:r>
      <w:r w:rsidRPr="00E83FA9">
        <w:rPr>
          <w:rFonts w:ascii="Times New Roman" w:hAnsi="Times New Roman" w:cs="Times New Roman"/>
          <w:sz w:val="28"/>
          <w:szCs w:val="28"/>
        </w:rPr>
        <w:t xml:space="preserve">government and to distribute its burdens equably among those who enjoy its </w:t>
      </w:r>
      <w:r>
        <w:rPr>
          <w:rFonts w:ascii="Times New Roman" w:hAnsi="Times New Roman" w:cs="Times New Roman"/>
          <w:sz w:val="28"/>
          <w:szCs w:val="28"/>
        </w:rPr>
        <w:tab/>
      </w:r>
      <w:r w:rsidRPr="00E83FA9">
        <w:rPr>
          <w:rFonts w:ascii="Times New Roman" w:hAnsi="Times New Roman" w:cs="Times New Roman"/>
          <w:sz w:val="28"/>
          <w:szCs w:val="28"/>
        </w:rPr>
        <w:t xml:space="preserve">benefits. Hence, domicile in itself establishes a basis for taxation. Enjoyment </w:t>
      </w:r>
      <w:r>
        <w:rPr>
          <w:rFonts w:ascii="Times New Roman" w:hAnsi="Times New Roman" w:cs="Times New Roman"/>
          <w:sz w:val="28"/>
          <w:szCs w:val="28"/>
        </w:rPr>
        <w:tab/>
      </w:r>
      <w:r w:rsidRPr="00E83FA9">
        <w:rPr>
          <w:rFonts w:ascii="Times New Roman" w:hAnsi="Times New Roman" w:cs="Times New Roman"/>
          <w:sz w:val="28"/>
          <w:szCs w:val="28"/>
        </w:rPr>
        <w:t xml:space="preserve">of the privileges of residence within the state, and the attendant right to </w:t>
      </w:r>
      <w:r>
        <w:rPr>
          <w:rFonts w:ascii="Times New Roman" w:hAnsi="Times New Roman" w:cs="Times New Roman"/>
          <w:sz w:val="28"/>
          <w:szCs w:val="28"/>
        </w:rPr>
        <w:tab/>
      </w:r>
      <w:r w:rsidRPr="00E83FA9">
        <w:rPr>
          <w:rFonts w:ascii="Times New Roman" w:hAnsi="Times New Roman" w:cs="Times New Roman"/>
          <w:sz w:val="28"/>
          <w:szCs w:val="28"/>
        </w:rPr>
        <w:t xml:space="preserve">invoke the protection of its laws, are inseparable from the responsibility for </w:t>
      </w:r>
      <w:r>
        <w:rPr>
          <w:rFonts w:ascii="Times New Roman" w:hAnsi="Times New Roman" w:cs="Times New Roman"/>
          <w:sz w:val="28"/>
          <w:szCs w:val="28"/>
        </w:rPr>
        <w:tab/>
      </w:r>
      <w:r w:rsidRPr="00E83FA9">
        <w:rPr>
          <w:rFonts w:ascii="Times New Roman" w:hAnsi="Times New Roman" w:cs="Times New Roman"/>
          <w:sz w:val="28"/>
          <w:szCs w:val="28"/>
        </w:rPr>
        <w:t xml:space="preserve">sharing the costs of government. </w:t>
      </w:r>
      <w:proofErr w:type="gramStart"/>
      <w:r w:rsidRPr="009771FC">
        <w:rPr>
          <w:rFonts w:ascii="Times New Roman" w:hAnsi="Times New Roman" w:cs="Times New Roman"/>
          <w:i/>
          <w:sz w:val="28"/>
          <w:szCs w:val="28"/>
        </w:rPr>
        <w:t>See</w:t>
      </w:r>
      <w:r w:rsidRPr="00E83FA9">
        <w:rPr>
          <w:rFonts w:ascii="Times New Roman" w:hAnsi="Times New Roman" w:cs="Times New Roman"/>
          <w:sz w:val="28"/>
          <w:szCs w:val="28"/>
        </w:rPr>
        <w:t xml:space="preserve"> </w:t>
      </w:r>
      <w:r w:rsidRPr="00E83FA9">
        <w:rPr>
          <w:rFonts w:ascii="Times New Roman" w:hAnsi="Times New Roman" w:cs="Times New Roman"/>
          <w:i/>
          <w:sz w:val="28"/>
          <w:szCs w:val="28"/>
        </w:rPr>
        <w:t>Fidelity &amp; Columbia Trust Co. v.</w:t>
      </w:r>
      <w:proofErr w:type="gramEnd"/>
      <w:r w:rsidRPr="00E83FA9">
        <w:rPr>
          <w:rFonts w:ascii="Times New Roman" w:hAnsi="Times New Roman" w:cs="Times New Roman"/>
          <w:i/>
          <w:sz w:val="28"/>
          <w:szCs w:val="28"/>
        </w:rPr>
        <w:t xml:space="preserve"> </w:t>
      </w:r>
      <w:r w:rsidRPr="00E83FA9">
        <w:rPr>
          <w:rFonts w:ascii="Times New Roman" w:hAnsi="Times New Roman" w:cs="Times New Roman"/>
          <w:i/>
          <w:sz w:val="28"/>
          <w:szCs w:val="28"/>
        </w:rPr>
        <w:tab/>
        <w:t>Louisville</w:t>
      </w:r>
      <w:r w:rsidRPr="00E83FA9">
        <w:rPr>
          <w:rFonts w:ascii="Times New Roman" w:hAnsi="Times New Roman" w:cs="Times New Roman"/>
          <w:sz w:val="28"/>
          <w:szCs w:val="28"/>
        </w:rPr>
        <w:t xml:space="preserve">, 245 U.S. 54, 58; </w:t>
      </w:r>
      <w:r w:rsidRPr="00E83FA9">
        <w:rPr>
          <w:rFonts w:ascii="Times New Roman" w:hAnsi="Times New Roman" w:cs="Times New Roman"/>
          <w:i/>
          <w:sz w:val="28"/>
          <w:szCs w:val="28"/>
        </w:rPr>
        <w:t xml:space="preserve">Maguire v. </w:t>
      </w:r>
      <w:proofErr w:type="spellStart"/>
      <w:r w:rsidRPr="00E83FA9">
        <w:rPr>
          <w:rFonts w:ascii="Times New Roman" w:hAnsi="Times New Roman" w:cs="Times New Roman"/>
          <w:i/>
          <w:sz w:val="28"/>
          <w:szCs w:val="28"/>
        </w:rPr>
        <w:t>Trefry</w:t>
      </w:r>
      <w:proofErr w:type="spellEnd"/>
      <w:r w:rsidRPr="00E83FA9">
        <w:rPr>
          <w:rFonts w:ascii="Times New Roman" w:hAnsi="Times New Roman" w:cs="Times New Roman"/>
          <w:sz w:val="28"/>
          <w:szCs w:val="28"/>
        </w:rPr>
        <w:t xml:space="preserve">, 253 U.S. 12, 14, 17; </w:t>
      </w:r>
      <w:r w:rsidRPr="00E83FA9">
        <w:rPr>
          <w:rFonts w:ascii="Times New Roman" w:hAnsi="Times New Roman" w:cs="Times New Roman"/>
          <w:i/>
          <w:sz w:val="28"/>
          <w:szCs w:val="28"/>
        </w:rPr>
        <w:t xml:space="preserve">Kirtland </w:t>
      </w:r>
      <w:r w:rsidRPr="00E83FA9">
        <w:rPr>
          <w:rFonts w:ascii="Times New Roman" w:hAnsi="Times New Roman" w:cs="Times New Roman"/>
          <w:i/>
          <w:sz w:val="28"/>
          <w:szCs w:val="28"/>
        </w:rPr>
        <w:tab/>
        <w:t>v. Hotchkiss</w:t>
      </w:r>
      <w:r w:rsidRPr="00E83FA9">
        <w:rPr>
          <w:rFonts w:ascii="Times New Roman" w:hAnsi="Times New Roman" w:cs="Times New Roman"/>
          <w:sz w:val="28"/>
          <w:szCs w:val="28"/>
        </w:rPr>
        <w:t xml:space="preserve">, 100 U.S. 491, 498; </w:t>
      </w:r>
      <w:r w:rsidRPr="00E83FA9">
        <w:rPr>
          <w:rFonts w:ascii="Times New Roman" w:hAnsi="Times New Roman" w:cs="Times New Roman"/>
          <w:i/>
          <w:sz w:val="28"/>
          <w:szCs w:val="28"/>
        </w:rPr>
        <w:t>Shaffer v. Carter</w:t>
      </w:r>
      <w:r w:rsidRPr="00E83FA9">
        <w:rPr>
          <w:rFonts w:ascii="Times New Roman" w:hAnsi="Times New Roman" w:cs="Times New Roman"/>
          <w:sz w:val="28"/>
          <w:szCs w:val="28"/>
        </w:rPr>
        <w:t xml:space="preserve">, 252 U.S. 37, 50. </w:t>
      </w:r>
    </w:p>
    <w:p w:rsidR="00A744ED" w:rsidRDefault="00A744ED" w:rsidP="00A744ED">
      <w:pPr>
        <w:spacing w:after="0" w:line="240" w:lineRule="auto"/>
        <w:jc w:val="both"/>
        <w:rPr>
          <w:rFonts w:ascii="Times New Roman" w:hAnsi="Times New Roman" w:cs="Times New Roman"/>
          <w:sz w:val="28"/>
          <w:szCs w:val="28"/>
        </w:rPr>
      </w:pPr>
    </w:p>
    <w:p w:rsidR="00A744ED" w:rsidRDefault="00A744ED" w:rsidP="00A744ED">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ab/>
      </w:r>
      <w:r w:rsidRPr="00E83FA9">
        <w:rPr>
          <w:rFonts w:ascii="Times New Roman" w:hAnsi="Times New Roman" w:cs="Times New Roman"/>
          <w:sz w:val="28"/>
          <w:szCs w:val="28"/>
        </w:rPr>
        <w:t xml:space="preserve">The Federal Constitution imposes on the states no particular modes of </w:t>
      </w:r>
      <w:r>
        <w:rPr>
          <w:rFonts w:ascii="Times New Roman" w:hAnsi="Times New Roman" w:cs="Times New Roman"/>
          <w:sz w:val="28"/>
          <w:szCs w:val="28"/>
        </w:rPr>
        <w:tab/>
      </w:r>
      <w:r w:rsidRPr="00E83FA9">
        <w:rPr>
          <w:rFonts w:ascii="Times New Roman" w:hAnsi="Times New Roman" w:cs="Times New Roman"/>
          <w:sz w:val="28"/>
          <w:szCs w:val="28"/>
        </w:rPr>
        <w:t xml:space="preserve">taxation, and apart from the specific grant to the federal government of the </w:t>
      </w:r>
      <w:r>
        <w:rPr>
          <w:rFonts w:ascii="Times New Roman" w:hAnsi="Times New Roman" w:cs="Times New Roman"/>
          <w:sz w:val="28"/>
          <w:szCs w:val="28"/>
        </w:rPr>
        <w:tab/>
      </w:r>
      <w:r w:rsidRPr="00E83FA9">
        <w:rPr>
          <w:rFonts w:ascii="Times New Roman" w:hAnsi="Times New Roman" w:cs="Times New Roman"/>
          <w:sz w:val="28"/>
          <w:szCs w:val="28"/>
        </w:rPr>
        <w:t xml:space="preserve">exclusive [*280] power to levy certain limited classes of taxes and to </w:t>
      </w:r>
      <w:r>
        <w:rPr>
          <w:rFonts w:ascii="Times New Roman" w:hAnsi="Times New Roman" w:cs="Times New Roman"/>
          <w:sz w:val="28"/>
          <w:szCs w:val="28"/>
        </w:rPr>
        <w:tab/>
      </w:r>
      <w:r w:rsidRPr="00E83FA9">
        <w:rPr>
          <w:rFonts w:ascii="Times New Roman" w:hAnsi="Times New Roman" w:cs="Times New Roman"/>
          <w:sz w:val="28"/>
          <w:szCs w:val="28"/>
        </w:rPr>
        <w:t xml:space="preserve">regulate interstate and foreign commerce, it leaves the states unrestricted in </w:t>
      </w:r>
      <w:r>
        <w:rPr>
          <w:rFonts w:ascii="Times New Roman" w:hAnsi="Times New Roman" w:cs="Times New Roman"/>
          <w:sz w:val="28"/>
          <w:szCs w:val="28"/>
        </w:rPr>
        <w:tab/>
      </w:r>
      <w:r w:rsidRPr="00E83FA9">
        <w:rPr>
          <w:rFonts w:ascii="Times New Roman" w:hAnsi="Times New Roman" w:cs="Times New Roman"/>
          <w:sz w:val="28"/>
          <w:szCs w:val="28"/>
        </w:rPr>
        <w:t xml:space="preserve">their power to tax those domiciled within them, so long as the tax imposed is </w:t>
      </w:r>
      <w:r>
        <w:rPr>
          <w:rFonts w:ascii="Times New Roman" w:hAnsi="Times New Roman" w:cs="Times New Roman"/>
          <w:sz w:val="28"/>
          <w:szCs w:val="28"/>
        </w:rPr>
        <w:tab/>
      </w:r>
      <w:r w:rsidRPr="00E83FA9">
        <w:rPr>
          <w:rFonts w:ascii="Times New Roman" w:hAnsi="Times New Roman" w:cs="Times New Roman"/>
          <w:sz w:val="28"/>
          <w:szCs w:val="28"/>
        </w:rPr>
        <w:t xml:space="preserve">upon property within the state or on privileges enjoyed there, and is not so </w:t>
      </w:r>
      <w:r>
        <w:rPr>
          <w:rFonts w:ascii="Times New Roman" w:hAnsi="Times New Roman" w:cs="Times New Roman"/>
          <w:sz w:val="28"/>
          <w:szCs w:val="28"/>
        </w:rPr>
        <w:lastRenderedPageBreak/>
        <w:tab/>
      </w:r>
      <w:r w:rsidRPr="00E83FA9">
        <w:rPr>
          <w:rFonts w:ascii="Times New Roman" w:hAnsi="Times New Roman" w:cs="Times New Roman"/>
          <w:sz w:val="28"/>
          <w:szCs w:val="28"/>
        </w:rPr>
        <w:t xml:space="preserve">palpably arbitrary or unreasonable as to infringe the Fourteenth Amendment. </w:t>
      </w:r>
      <w:r>
        <w:rPr>
          <w:rFonts w:ascii="Times New Roman" w:hAnsi="Times New Roman" w:cs="Times New Roman"/>
          <w:sz w:val="28"/>
          <w:szCs w:val="28"/>
        </w:rPr>
        <w:tab/>
      </w:r>
      <w:proofErr w:type="gramStart"/>
      <w:r w:rsidRPr="00E83FA9">
        <w:rPr>
          <w:rFonts w:ascii="Times New Roman" w:hAnsi="Times New Roman" w:cs="Times New Roman"/>
          <w:i/>
          <w:sz w:val="28"/>
          <w:szCs w:val="28"/>
        </w:rPr>
        <w:t>Kirtland</w:t>
      </w:r>
      <w:r>
        <w:rPr>
          <w:rFonts w:ascii="Times New Roman" w:hAnsi="Times New Roman" w:cs="Times New Roman"/>
          <w:i/>
          <w:sz w:val="28"/>
          <w:szCs w:val="28"/>
        </w:rPr>
        <w:t xml:space="preserve"> v H</w:t>
      </w:r>
      <w:r w:rsidRPr="00E83FA9">
        <w:rPr>
          <w:rFonts w:ascii="Times New Roman" w:hAnsi="Times New Roman" w:cs="Times New Roman"/>
          <w:i/>
          <w:sz w:val="28"/>
          <w:szCs w:val="28"/>
        </w:rPr>
        <w:t>otchkiss</w:t>
      </w:r>
      <w:r w:rsidRPr="00E83FA9">
        <w:rPr>
          <w:rFonts w:ascii="Times New Roman" w:hAnsi="Times New Roman" w:cs="Times New Roman"/>
          <w:sz w:val="28"/>
          <w:szCs w:val="28"/>
        </w:rPr>
        <w:t>, supra</w:t>
      </w:r>
      <w:r w:rsidR="004E1A5C">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E83FA9">
        <w:rPr>
          <w:rFonts w:ascii="Times New Roman" w:hAnsi="Times New Roman" w:cs="Times New Roman"/>
          <w:sz w:val="28"/>
          <w:szCs w:val="28"/>
        </w:rPr>
        <w:br/>
      </w:r>
      <w:r w:rsidRPr="00E83FA9">
        <w:rPr>
          <w:rFonts w:ascii="Times New Roman" w:hAnsi="Times New Roman" w:cs="Times New Roman"/>
          <w:sz w:val="28"/>
          <w:szCs w:val="28"/>
        </w:rPr>
        <w:br/>
      </w:r>
      <w:hyperlink r:id="rId19" w:tgtFrame="x" w:tooltip="Clicking this link retrieves the full text document in another window" w:history="1">
        <w:r w:rsidRPr="00E83FA9">
          <w:rPr>
            <w:rFonts w:ascii="Times New Roman" w:hAnsi="Times New Roman" w:cs="Times New Roman"/>
            <w:i/>
            <w:color w:val="000000" w:themeColor="text1"/>
            <w:sz w:val="28"/>
            <w:szCs w:val="28"/>
          </w:rPr>
          <w:t>Lawrence v. State Tax Comm</w:t>
        </w:r>
        <w:r w:rsidRPr="00E83FA9">
          <w:rPr>
            <w:rFonts w:ascii="Times New Roman" w:hAnsi="Times New Roman" w:cs="Times New Roman"/>
            <w:color w:val="000000" w:themeColor="text1"/>
            <w:sz w:val="28"/>
            <w:szCs w:val="28"/>
          </w:rPr>
          <w:t>., 286 U.S. 276, 279-280 (U.S. 1932)</w:t>
        </w:r>
      </w:hyperlink>
      <w:r>
        <w:rPr>
          <w:rFonts w:ascii="Times New Roman" w:hAnsi="Times New Roman" w:cs="Times New Roman"/>
          <w:color w:val="000000" w:themeColor="text1"/>
          <w:sz w:val="28"/>
          <w:szCs w:val="28"/>
        </w:rPr>
        <w:t>.</w:t>
      </w:r>
    </w:p>
    <w:p w:rsidR="00905EAA" w:rsidRDefault="00905EAA" w:rsidP="00A744ED">
      <w:pPr>
        <w:spacing w:after="0" w:line="240" w:lineRule="auto"/>
        <w:rPr>
          <w:rFonts w:ascii="Times New Roman" w:hAnsi="Times New Roman" w:cs="Times New Roman"/>
          <w:color w:val="000000" w:themeColor="text1"/>
          <w:sz w:val="28"/>
          <w:szCs w:val="28"/>
        </w:rPr>
      </w:pPr>
    </w:p>
    <w:p w:rsidR="00905EAA" w:rsidRPr="007E3112" w:rsidRDefault="00905EAA" w:rsidP="00905EAA">
      <w:pPr>
        <w:rPr>
          <w:rFonts w:ascii="Times New Roman" w:eastAsia="Times New Roman" w:hAnsi="Times New Roman" w:cs="Times New Roman"/>
          <w:sz w:val="28"/>
          <w:szCs w:val="28"/>
        </w:rPr>
      </w:pPr>
      <w:r w:rsidRPr="007E3112">
        <w:rPr>
          <w:rFonts w:ascii="Times New Roman" w:eastAsia="Times New Roman" w:hAnsi="Times New Roman" w:cs="Times New Roman"/>
          <w:sz w:val="28"/>
          <w:szCs w:val="28"/>
        </w:rPr>
        <w:t xml:space="preserve">In follow up to the </w:t>
      </w:r>
      <w:r w:rsidRPr="007E3112">
        <w:rPr>
          <w:rFonts w:ascii="Times New Roman" w:eastAsia="Times New Roman" w:hAnsi="Times New Roman" w:cs="Times New Roman"/>
          <w:i/>
          <w:sz w:val="28"/>
          <w:szCs w:val="28"/>
        </w:rPr>
        <w:t xml:space="preserve">Lawrence </w:t>
      </w:r>
      <w:r w:rsidRPr="007E3112">
        <w:rPr>
          <w:rFonts w:ascii="Times New Roman" w:eastAsia="Times New Roman" w:hAnsi="Times New Roman" w:cs="Times New Roman"/>
          <w:sz w:val="28"/>
          <w:szCs w:val="28"/>
        </w:rPr>
        <w:t>Court’s acknowledgement that a state has unrestricted power to tax those domiciled within the state “</w:t>
      </w:r>
      <w:r w:rsidRPr="007E3112">
        <w:rPr>
          <w:rFonts w:ascii="Times New Roman" w:eastAsia="Times New Roman" w:hAnsi="Times New Roman" w:cs="Times New Roman"/>
          <w:i/>
          <w:sz w:val="28"/>
          <w:szCs w:val="28"/>
        </w:rPr>
        <w:t xml:space="preserve">so long as the tax imposed is . . . on privileges enjoyed there”, </w:t>
      </w:r>
      <w:r w:rsidRPr="007E3112">
        <w:rPr>
          <w:rFonts w:ascii="Times New Roman" w:eastAsia="Times New Roman" w:hAnsi="Times New Roman" w:cs="Times New Roman"/>
          <w:sz w:val="28"/>
          <w:szCs w:val="28"/>
        </w:rPr>
        <w:t>the Howard County, Maryland Budget</w:t>
      </w:r>
      <w:r w:rsidR="006F769E" w:rsidRPr="007E3112">
        <w:rPr>
          <w:rStyle w:val="FootnoteReference"/>
          <w:rFonts w:ascii="Times New Roman" w:eastAsia="Times New Roman" w:hAnsi="Times New Roman"/>
          <w:sz w:val="28"/>
          <w:szCs w:val="28"/>
        </w:rPr>
        <w:footnoteReference w:id="5"/>
      </w:r>
      <w:r w:rsidRPr="007E3112">
        <w:rPr>
          <w:rFonts w:ascii="Times New Roman" w:eastAsia="Times New Roman" w:hAnsi="Times New Roman" w:cs="Times New Roman"/>
          <w:sz w:val="28"/>
          <w:szCs w:val="28"/>
        </w:rPr>
        <w:t xml:space="preserve"> helps explain the importance of the local income tax to its ability to provide services to its residents.  For FY 2014, the income tax makes up 23.36% of its revenues. Applied to a budget of almost $1.6 Billion, the income tax amounts to about $373 Million.  These revenues fund a host of privileges enjoyed by the taxpayers.  What privileges do these revenues fund?  In the FY 2014 Budget, the expenditures are divided up among various broadly defined programs with education being the greatest recipient of funding: roughly 57% of the total budget.  In the case before the Court, the taxpayer has five school age children, all of whom could be enjoying these privileges.  The taxpayer also enjoys a commitment to public safety - 13% of the budget; public facilities – 10% of the budget; a legislative and judicial system – 1% of the budget; community services – 5% of the budget and so on.</w:t>
      </w:r>
    </w:p>
    <w:p w:rsidR="00B76A7A" w:rsidRPr="007E3112" w:rsidRDefault="00CE54BC" w:rsidP="00905EAA">
      <w:pPr>
        <w:rPr>
          <w:rFonts w:ascii="Times New Roman" w:eastAsia="Times New Roman" w:hAnsi="Times New Roman" w:cs="Times New Roman"/>
          <w:sz w:val="28"/>
          <w:szCs w:val="28"/>
        </w:rPr>
      </w:pPr>
      <w:r w:rsidRPr="007E3112">
        <w:rPr>
          <w:rFonts w:ascii="Times New Roman" w:eastAsia="Times New Roman" w:hAnsi="Times New Roman" w:cs="Times New Roman"/>
          <w:sz w:val="28"/>
          <w:szCs w:val="28"/>
        </w:rPr>
        <w:t>In Montgomery County, Maryland, the income tax is closer to 29% of the County’s revenue stream and amounts to an estimated $1.299 Billion Dollars in FY 14.</w:t>
      </w:r>
      <w:r w:rsidRPr="007E3112">
        <w:rPr>
          <w:rStyle w:val="FootnoteReference"/>
          <w:rFonts w:ascii="Times New Roman" w:eastAsia="Times New Roman" w:hAnsi="Times New Roman"/>
          <w:sz w:val="28"/>
          <w:szCs w:val="28"/>
        </w:rPr>
        <w:footnoteReference w:id="6"/>
      </w:r>
      <w:r w:rsidRPr="007E3112">
        <w:rPr>
          <w:rFonts w:ascii="Times New Roman" w:eastAsia="Times New Roman" w:hAnsi="Times New Roman" w:cs="Times New Roman"/>
          <w:sz w:val="28"/>
          <w:szCs w:val="28"/>
        </w:rPr>
        <w:t xml:space="preserve">  Like Howard County, Montgomery County uses these revenues for a host of projects.</w:t>
      </w:r>
      <w:r w:rsidRPr="007E3112">
        <w:rPr>
          <w:rStyle w:val="FootnoteReference"/>
          <w:rFonts w:ascii="Times New Roman" w:eastAsia="Times New Roman" w:hAnsi="Times New Roman"/>
          <w:sz w:val="28"/>
          <w:szCs w:val="28"/>
        </w:rPr>
        <w:footnoteReference w:id="7"/>
      </w:r>
      <w:r w:rsidRPr="007E3112">
        <w:rPr>
          <w:rFonts w:ascii="Times New Roman" w:eastAsia="Times New Roman" w:hAnsi="Times New Roman" w:cs="Times New Roman"/>
          <w:sz w:val="28"/>
          <w:szCs w:val="28"/>
        </w:rPr>
        <w:t xml:space="preserve">  Among the projects are over $36 Million to fund affordable housing initiatives; address mounting traffic congestions with transportation solutions; provide for the educational needs of over 151,000 K-12 students; address storm water management failures in its MS4 systems; and increase by 120 the number of police officers serving the community among a host of other initiatives, programs </w:t>
      </w:r>
      <w:r w:rsidRPr="007E3112">
        <w:rPr>
          <w:rFonts w:ascii="Times New Roman" w:eastAsia="Times New Roman" w:hAnsi="Times New Roman" w:cs="Times New Roman"/>
          <w:sz w:val="28"/>
          <w:szCs w:val="28"/>
        </w:rPr>
        <w:lastRenderedPageBreak/>
        <w:t>and services befitting one of the most diverse, populous and wealthy communities in the country.</w:t>
      </w:r>
      <w:r w:rsidRPr="007E3112">
        <w:rPr>
          <w:rStyle w:val="FootnoteReference"/>
          <w:rFonts w:ascii="Times New Roman" w:eastAsia="Times New Roman" w:hAnsi="Times New Roman"/>
          <w:sz w:val="28"/>
          <w:szCs w:val="28"/>
        </w:rPr>
        <w:footnoteReference w:id="8"/>
      </w:r>
    </w:p>
    <w:p w:rsidR="00905EAA" w:rsidRPr="007E3112" w:rsidRDefault="00905EAA" w:rsidP="00905EAA">
      <w:pPr>
        <w:rPr>
          <w:rFonts w:ascii="Times New Roman" w:eastAsia="Times New Roman" w:hAnsi="Times New Roman" w:cs="Times New Roman"/>
          <w:sz w:val="28"/>
          <w:szCs w:val="28"/>
        </w:rPr>
      </w:pPr>
      <w:r w:rsidRPr="007E3112">
        <w:rPr>
          <w:rFonts w:ascii="Times New Roman" w:eastAsia="Times New Roman" w:hAnsi="Times New Roman" w:cs="Times New Roman"/>
          <w:sz w:val="28"/>
          <w:szCs w:val="28"/>
        </w:rPr>
        <w:t>Regardless of where a person’s income derives, the person’s income measures a basis of taxation generally used to fund public services.  Clearly, some people are taxed for services that they do not currently use – seniors do not generally use the educational system; while younger families rely less on some community services than do older residents.  Nevertheless,</w:t>
      </w:r>
      <w:r w:rsidR="00EB6EB6" w:rsidRPr="007E3112">
        <w:rPr>
          <w:rFonts w:ascii="Times New Roman" w:eastAsia="Times New Roman" w:hAnsi="Times New Roman" w:cs="Times New Roman"/>
          <w:sz w:val="28"/>
          <w:szCs w:val="28"/>
        </w:rPr>
        <w:t xml:space="preserve"> despite a tax’s </w:t>
      </w:r>
      <w:r w:rsidR="00B34CDE">
        <w:rPr>
          <w:rFonts w:ascii="Times New Roman" w:eastAsia="Times New Roman" w:hAnsi="Times New Roman" w:cs="Times New Roman"/>
          <w:sz w:val="28"/>
          <w:szCs w:val="28"/>
        </w:rPr>
        <w:t xml:space="preserve">lack of </w:t>
      </w:r>
      <w:r w:rsidR="00EB6EB6" w:rsidRPr="007E3112">
        <w:rPr>
          <w:rFonts w:ascii="Times New Roman" w:eastAsia="Times New Roman" w:hAnsi="Times New Roman" w:cs="Times New Roman"/>
          <w:sz w:val="28"/>
          <w:szCs w:val="28"/>
        </w:rPr>
        <w:t xml:space="preserve">direct nexus to the services rendered, </w:t>
      </w:r>
      <w:r w:rsidRPr="007E3112">
        <w:rPr>
          <w:rFonts w:ascii="Times New Roman" w:eastAsia="Times New Roman" w:hAnsi="Times New Roman" w:cs="Times New Roman"/>
          <w:sz w:val="28"/>
          <w:szCs w:val="28"/>
        </w:rPr>
        <w:t xml:space="preserve"> local taxes have existed since the beginnings of the Republic in various forms and for various purposes and as the Court in </w:t>
      </w:r>
      <w:r w:rsidRPr="007E3112">
        <w:rPr>
          <w:rFonts w:ascii="Times New Roman" w:eastAsia="Times New Roman" w:hAnsi="Times New Roman" w:cs="Times New Roman"/>
          <w:i/>
          <w:sz w:val="28"/>
          <w:szCs w:val="28"/>
        </w:rPr>
        <w:t>Lawrence</w:t>
      </w:r>
      <w:r w:rsidRPr="007E3112">
        <w:rPr>
          <w:rFonts w:ascii="Times New Roman" w:eastAsia="Times New Roman" w:hAnsi="Times New Roman" w:cs="Times New Roman"/>
          <w:sz w:val="28"/>
          <w:szCs w:val="28"/>
        </w:rPr>
        <w:t xml:space="preserve"> points out find constitutional support if their nexus lies in the</w:t>
      </w:r>
      <w:r w:rsidR="00EB6EB6" w:rsidRPr="007E3112">
        <w:rPr>
          <w:rFonts w:ascii="Times New Roman" w:eastAsia="Times New Roman" w:hAnsi="Times New Roman" w:cs="Times New Roman"/>
          <w:sz w:val="28"/>
          <w:szCs w:val="28"/>
        </w:rPr>
        <w:t xml:space="preserve"> common</w:t>
      </w:r>
      <w:r w:rsidRPr="007E3112">
        <w:rPr>
          <w:rFonts w:ascii="Times New Roman" w:eastAsia="Times New Roman" w:hAnsi="Times New Roman" w:cs="Times New Roman"/>
          <w:sz w:val="28"/>
          <w:szCs w:val="28"/>
        </w:rPr>
        <w:t xml:space="preserve"> privileges accorded </w:t>
      </w:r>
      <w:r w:rsidR="00EB6EB6" w:rsidRPr="007E3112">
        <w:rPr>
          <w:rFonts w:ascii="Times New Roman" w:eastAsia="Times New Roman" w:hAnsi="Times New Roman" w:cs="Times New Roman"/>
          <w:sz w:val="28"/>
          <w:szCs w:val="28"/>
        </w:rPr>
        <w:t>all</w:t>
      </w:r>
      <w:r w:rsidRPr="007E3112">
        <w:rPr>
          <w:rFonts w:ascii="Times New Roman" w:eastAsia="Times New Roman" w:hAnsi="Times New Roman" w:cs="Times New Roman"/>
          <w:sz w:val="28"/>
          <w:szCs w:val="28"/>
        </w:rPr>
        <w:t xml:space="preserve"> resident taxpayer</w:t>
      </w:r>
      <w:r w:rsidR="00EB6EB6" w:rsidRPr="007E3112">
        <w:rPr>
          <w:rFonts w:ascii="Times New Roman" w:eastAsia="Times New Roman" w:hAnsi="Times New Roman" w:cs="Times New Roman"/>
          <w:sz w:val="28"/>
          <w:szCs w:val="28"/>
        </w:rPr>
        <w:t>s</w:t>
      </w:r>
      <w:r w:rsidRPr="007E3112">
        <w:rPr>
          <w:rFonts w:ascii="Times New Roman" w:eastAsia="Times New Roman" w:hAnsi="Times New Roman" w:cs="Times New Roman"/>
          <w:sz w:val="28"/>
          <w:szCs w:val="28"/>
        </w:rPr>
        <w:t xml:space="preserve">.  The Maryland Court’s of Appeals decision drifts from this long standing principle and conflates the negative Commerce Clause jurisprudence </w:t>
      </w:r>
      <w:r w:rsidR="00EB6EB6" w:rsidRPr="007E3112">
        <w:rPr>
          <w:rFonts w:ascii="Times New Roman" w:eastAsia="Times New Roman" w:hAnsi="Times New Roman" w:cs="Times New Roman"/>
          <w:sz w:val="28"/>
          <w:szCs w:val="28"/>
        </w:rPr>
        <w:t>following</w:t>
      </w:r>
      <w:r w:rsidRPr="007E3112">
        <w:rPr>
          <w:rFonts w:ascii="Times New Roman" w:eastAsia="Times New Roman" w:hAnsi="Times New Roman" w:cs="Times New Roman"/>
          <w:sz w:val="28"/>
          <w:szCs w:val="28"/>
        </w:rPr>
        <w:t xml:space="preserve"> </w:t>
      </w:r>
      <w:r w:rsidRPr="007E3112">
        <w:rPr>
          <w:rFonts w:ascii="Times New Roman" w:eastAsia="Times New Roman" w:hAnsi="Times New Roman" w:cs="Times New Roman"/>
          <w:i/>
          <w:sz w:val="28"/>
          <w:szCs w:val="28"/>
        </w:rPr>
        <w:t>Complete Auto</w:t>
      </w:r>
      <w:r w:rsidRPr="007E3112">
        <w:rPr>
          <w:rFonts w:ascii="Times New Roman" w:eastAsia="Times New Roman" w:hAnsi="Times New Roman" w:cs="Times New Roman"/>
          <w:sz w:val="28"/>
          <w:szCs w:val="28"/>
        </w:rPr>
        <w:t xml:space="preserve"> </w:t>
      </w:r>
      <w:r w:rsidR="00EB6EB6" w:rsidRPr="007E3112">
        <w:rPr>
          <w:rFonts w:ascii="Times New Roman" w:eastAsia="Times New Roman" w:hAnsi="Times New Roman" w:cs="Times New Roman"/>
          <w:sz w:val="28"/>
          <w:szCs w:val="28"/>
        </w:rPr>
        <w:t>that involves</w:t>
      </w:r>
      <w:r w:rsidRPr="007E3112">
        <w:rPr>
          <w:rFonts w:ascii="Times New Roman" w:eastAsia="Times New Roman" w:hAnsi="Times New Roman" w:cs="Times New Roman"/>
          <w:sz w:val="28"/>
          <w:szCs w:val="28"/>
        </w:rPr>
        <w:t xml:space="preserve"> franchise taxes with the income tax – the franchise tax</w:t>
      </w:r>
      <w:r w:rsidR="00052BE8">
        <w:rPr>
          <w:rFonts w:ascii="Times New Roman" w:eastAsia="Times New Roman" w:hAnsi="Times New Roman" w:cs="Times New Roman"/>
          <w:sz w:val="28"/>
          <w:szCs w:val="28"/>
        </w:rPr>
        <w:t xml:space="preserve"> -</w:t>
      </w:r>
      <w:r w:rsidRPr="007E3112">
        <w:rPr>
          <w:rFonts w:ascii="Times New Roman" w:eastAsia="Times New Roman" w:hAnsi="Times New Roman" w:cs="Times New Roman"/>
          <w:sz w:val="28"/>
          <w:szCs w:val="28"/>
        </w:rPr>
        <w:t xml:space="preserve"> a tax on doing business in the state and the income tax</w:t>
      </w:r>
      <w:r w:rsidR="00052BE8">
        <w:rPr>
          <w:rFonts w:ascii="Times New Roman" w:eastAsia="Times New Roman" w:hAnsi="Times New Roman" w:cs="Times New Roman"/>
          <w:sz w:val="28"/>
          <w:szCs w:val="28"/>
        </w:rPr>
        <w:t xml:space="preserve"> -</w:t>
      </w:r>
      <w:r w:rsidRPr="007E3112">
        <w:rPr>
          <w:rFonts w:ascii="Times New Roman" w:eastAsia="Times New Roman" w:hAnsi="Times New Roman" w:cs="Times New Roman"/>
          <w:sz w:val="28"/>
          <w:szCs w:val="28"/>
        </w:rPr>
        <w:t xml:space="preserve"> a tax on wealth from whatever source.   </w:t>
      </w:r>
      <w:r w:rsidR="00EB6EB6" w:rsidRPr="007E3112">
        <w:rPr>
          <w:rFonts w:ascii="Times New Roman" w:eastAsia="Times New Roman" w:hAnsi="Times New Roman" w:cs="Times New Roman"/>
          <w:sz w:val="28"/>
          <w:szCs w:val="28"/>
        </w:rPr>
        <w:t xml:space="preserve">Indeed, the Court in </w:t>
      </w:r>
      <w:r w:rsidR="00EB6EB6" w:rsidRPr="007E3112">
        <w:rPr>
          <w:rFonts w:ascii="Times New Roman" w:eastAsia="Times New Roman" w:hAnsi="Times New Roman" w:cs="Times New Roman"/>
          <w:i/>
          <w:sz w:val="28"/>
          <w:szCs w:val="28"/>
        </w:rPr>
        <w:t>Complete Auto</w:t>
      </w:r>
      <w:r w:rsidR="00EB6EB6" w:rsidRPr="007E3112">
        <w:rPr>
          <w:rFonts w:ascii="Times New Roman" w:eastAsia="Times New Roman" w:hAnsi="Times New Roman" w:cs="Times New Roman"/>
          <w:sz w:val="28"/>
          <w:szCs w:val="28"/>
        </w:rPr>
        <w:t xml:space="preserve"> affirms through citation to previous authority and in its holding the basic principles set out in</w:t>
      </w:r>
      <w:r w:rsidR="00EB6EB6" w:rsidRPr="007E3112">
        <w:rPr>
          <w:rFonts w:ascii="Times New Roman" w:eastAsia="Times New Roman" w:hAnsi="Times New Roman" w:cs="Times New Roman"/>
          <w:i/>
          <w:sz w:val="28"/>
          <w:szCs w:val="28"/>
        </w:rPr>
        <w:t xml:space="preserve"> Lawrence</w:t>
      </w:r>
      <w:r w:rsidR="00EB6EB6" w:rsidRPr="007E3112">
        <w:rPr>
          <w:rFonts w:ascii="Times New Roman" w:eastAsia="Times New Roman" w:hAnsi="Times New Roman" w:cs="Times New Roman"/>
          <w:sz w:val="28"/>
          <w:szCs w:val="28"/>
        </w:rPr>
        <w:t>, that a tax on the privileges enjoyed by a resident taxpayer are not subject to invalidity under the negative Commerce Clause.</w:t>
      </w:r>
    </w:p>
    <w:p w:rsidR="00905EAA" w:rsidRPr="0034141A" w:rsidRDefault="00905EAA" w:rsidP="00A744ED">
      <w:pPr>
        <w:spacing w:after="0" w:line="240" w:lineRule="auto"/>
        <w:rPr>
          <w:rFonts w:ascii="Times New Roman" w:hAnsi="Times New Roman" w:cs="Times New Roman"/>
          <w:sz w:val="28"/>
          <w:szCs w:val="28"/>
        </w:rPr>
      </w:pPr>
    </w:p>
    <w:p w:rsidR="00A744ED" w:rsidRDefault="00A744ED" w:rsidP="00EB5845">
      <w:pPr>
        <w:jc w:val="both"/>
        <w:rPr>
          <w:rFonts w:ascii="Times New Roman" w:hAnsi="Times New Roman"/>
          <w:bCs/>
          <w:color w:val="000000" w:themeColor="text1"/>
          <w:sz w:val="28"/>
          <w:szCs w:val="28"/>
        </w:rPr>
      </w:pPr>
    </w:p>
    <w:p w:rsidR="00EB5845" w:rsidRPr="007E3112" w:rsidRDefault="00EB5845" w:rsidP="00156A39">
      <w:pPr>
        <w:pStyle w:val="Heading2"/>
        <w:rPr>
          <w:rFonts w:ascii="Times New Roman" w:hAnsi="Times New Roman"/>
          <w:sz w:val="28"/>
          <w:szCs w:val="28"/>
        </w:rPr>
      </w:pPr>
      <w:r w:rsidRPr="007E3112">
        <w:rPr>
          <w:rFonts w:ascii="Times New Roman" w:hAnsi="Times New Roman"/>
          <w:sz w:val="28"/>
          <w:szCs w:val="28"/>
        </w:rPr>
        <w:tab/>
        <w:t>THE MARYLAND COURT</w:t>
      </w:r>
      <w:r w:rsidR="00EB6EB6" w:rsidRPr="007E3112">
        <w:rPr>
          <w:rFonts w:ascii="Times New Roman" w:hAnsi="Times New Roman"/>
          <w:sz w:val="28"/>
          <w:szCs w:val="28"/>
        </w:rPr>
        <w:t>’s</w:t>
      </w:r>
      <w:r w:rsidRPr="007E3112">
        <w:rPr>
          <w:rFonts w:ascii="Times New Roman" w:hAnsi="Times New Roman"/>
          <w:sz w:val="28"/>
          <w:szCs w:val="28"/>
        </w:rPr>
        <w:t xml:space="preserve"> OF APPEALS DECISION undermines state sovere</w:t>
      </w:r>
      <w:r w:rsidR="009D7802" w:rsidRPr="007E3112">
        <w:rPr>
          <w:rFonts w:ascii="Times New Roman" w:hAnsi="Times New Roman"/>
          <w:sz w:val="28"/>
          <w:szCs w:val="28"/>
        </w:rPr>
        <w:t>i</w:t>
      </w:r>
      <w:r w:rsidRPr="007E3112">
        <w:rPr>
          <w:rFonts w:ascii="Times New Roman" w:hAnsi="Times New Roman"/>
          <w:sz w:val="28"/>
          <w:szCs w:val="28"/>
        </w:rPr>
        <w:t xml:space="preserve">gnty </w:t>
      </w:r>
    </w:p>
    <w:p w:rsidR="007A085D" w:rsidRDefault="00DE4C52" w:rsidP="007A085D">
      <w:pPr>
        <w:spacing w:line="240" w:lineRule="auto"/>
        <w:jc w:val="both"/>
        <w:rPr>
          <w:rFonts w:ascii="Times New Roman" w:eastAsia="Arial Unicode MS" w:hAnsi="Times New Roman" w:cs="Times New Roman"/>
          <w:sz w:val="28"/>
          <w:szCs w:val="28"/>
        </w:rPr>
      </w:pPr>
      <w:r>
        <w:rPr>
          <w:rFonts w:ascii="Times New Roman" w:hAnsi="Times New Roman" w:cs="Times New Roman"/>
          <w:sz w:val="28"/>
          <w:szCs w:val="28"/>
        </w:rPr>
        <w:tab/>
      </w:r>
      <w:r w:rsidR="007A085D">
        <w:rPr>
          <w:rFonts w:ascii="Times New Roman" w:hAnsi="Times New Roman" w:cs="Times New Roman"/>
          <w:sz w:val="28"/>
          <w:szCs w:val="28"/>
        </w:rPr>
        <w:t>The Maryland Court</w:t>
      </w:r>
      <w:r w:rsidR="00052BE8">
        <w:rPr>
          <w:rFonts w:ascii="Times New Roman" w:hAnsi="Times New Roman" w:cs="Times New Roman"/>
          <w:sz w:val="28"/>
          <w:szCs w:val="28"/>
        </w:rPr>
        <w:t>’s</w:t>
      </w:r>
      <w:r w:rsidR="007A085D">
        <w:rPr>
          <w:rFonts w:ascii="Times New Roman" w:hAnsi="Times New Roman" w:cs="Times New Roman"/>
          <w:sz w:val="28"/>
          <w:szCs w:val="28"/>
        </w:rPr>
        <w:t xml:space="preserve"> of Appeals decision obstructs the State’s power of taxation, a fundamental incident of </w:t>
      </w:r>
      <w:r w:rsidR="007A085D" w:rsidRPr="0034141A">
        <w:rPr>
          <w:rFonts w:ascii="Times New Roman" w:hAnsi="Times New Roman" w:cs="Times New Roman"/>
          <w:sz w:val="28"/>
          <w:szCs w:val="28"/>
        </w:rPr>
        <w:t xml:space="preserve">State sovereignty </w:t>
      </w:r>
      <w:r w:rsidR="007A085D">
        <w:rPr>
          <w:rFonts w:ascii="Times New Roman" w:hAnsi="Times New Roman" w:cs="Times New Roman"/>
          <w:sz w:val="28"/>
          <w:szCs w:val="28"/>
        </w:rPr>
        <w:t xml:space="preserve">recognized since the time of </w:t>
      </w:r>
      <w:r w:rsidR="007A085D" w:rsidRPr="0034141A">
        <w:rPr>
          <w:rFonts w:ascii="Times New Roman" w:hAnsi="Times New Roman" w:cs="Times New Roman"/>
          <w:i/>
          <w:iCs/>
          <w:sz w:val="28"/>
          <w:szCs w:val="28"/>
        </w:rPr>
        <w:t>McCulloch v. Maryland</w:t>
      </w:r>
      <w:r w:rsidR="007A085D" w:rsidRPr="0034141A">
        <w:rPr>
          <w:rFonts w:ascii="Times New Roman" w:hAnsi="Times New Roman" w:cs="Times New Roman"/>
          <w:sz w:val="28"/>
          <w:szCs w:val="28"/>
        </w:rPr>
        <w:t>, 17 U.S. 316 (1819)</w:t>
      </w:r>
      <w:r w:rsidR="007A085D">
        <w:rPr>
          <w:rFonts w:ascii="Times New Roman" w:hAnsi="Times New Roman" w:cs="Times New Roman"/>
          <w:sz w:val="28"/>
          <w:szCs w:val="28"/>
        </w:rPr>
        <w:t xml:space="preserve"> that unambiguously permits a state to </w:t>
      </w:r>
      <w:r w:rsidR="007A085D" w:rsidRPr="0034141A">
        <w:rPr>
          <w:rFonts w:ascii="Times New Roman" w:eastAsia="Arial Unicode MS" w:hAnsi="Times New Roman" w:cs="Times New Roman"/>
          <w:sz w:val="28"/>
          <w:szCs w:val="28"/>
        </w:rPr>
        <w:t xml:space="preserve">tax </w:t>
      </w:r>
      <w:r w:rsidR="007A085D" w:rsidRPr="0034141A">
        <w:rPr>
          <w:rFonts w:ascii="Times New Roman" w:eastAsia="Arial Unicode MS" w:hAnsi="Times New Roman" w:cs="Times New Roman"/>
          <w:i/>
          <w:sz w:val="28"/>
          <w:szCs w:val="28"/>
        </w:rPr>
        <w:t>all</w:t>
      </w:r>
      <w:r w:rsidR="007A085D" w:rsidRPr="0034141A">
        <w:rPr>
          <w:rFonts w:ascii="Times New Roman" w:eastAsia="Arial Unicode MS" w:hAnsi="Times New Roman" w:cs="Times New Roman"/>
          <w:sz w:val="28"/>
          <w:szCs w:val="28"/>
        </w:rPr>
        <w:t xml:space="preserve"> the income of its residents wherever derived</w:t>
      </w:r>
      <w:r w:rsidR="007A085D">
        <w:rPr>
          <w:rFonts w:ascii="Times New Roman" w:eastAsia="Arial Unicode MS" w:hAnsi="Times New Roman" w:cs="Times New Roman"/>
          <w:sz w:val="28"/>
          <w:szCs w:val="28"/>
        </w:rPr>
        <w:t xml:space="preserve">. </w:t>
      </w:r>
      <w:proofErr w:type="gramStart"/>
      <w:r w:rsidR="007A085D" w:rsidRPr="0034141A">
        <w:rPr>
          <w:rFonts w:ascii="Times New Roman" w:eastAsia="Arial Unicode MS" w:hAnsi="Times New Roman" w:cs="Times New Roman"/>
          <w:i/>
          <w:sz w:val="28"/>
          <w:szCs w:val="28"/>
        </w:rPr>
        <w:t>Oklahoma Tax Comm</w:t>
      </w:r>
      <w:r w:rsidR="009D7802">
        <w:rPr>
          <w:rFonts w:ascii="Times New Roman" w:eastAsia="Arial Unicode MS" w:hAnsi="Times New Roman" w:cs="Times New Roman"/>
          <w:i/>
          <w:sz w:val="28"/>
          <w:szCs w:val="28"/>
        </w:rPr>
        <w:t xml:space="preserve">. </w:t>
      </w:r>
      <w:r w:rsidR="007A085D" w:rsidRPr="0034141A">
        <w:rPr>
          <w:rFonts w:ascii="Times New Roman" w:eastAsia="Arial Unicode MS" w:hAnsi="Times New Roman" w:cs="Times New Roman"/>
          <w:i/>
          <w:sz w:val="28"/>
          <w:szCs w:val="28"/>
        </w:rPr>
        <w:t xml:space="preserve">v. </w:t>
      </w:r>
      <w:proofErr w:type="spellStart"/>
      <w:r w:rsidR="007A085D" w:rsidRPr="0034141A">
        <w:rPr>
          <w:rFonts w:ascii="Times New Roman" w:eastAsia="Arial Unicode MS" w:hAnsi="Times New Roman" w:cs="Times New Roman"/>
          <w:i/>
          <w:sz w:val="28"/>
          <w:szCs w:val="28"/>
        </w:rPr>
        <w:t>Chicasaw</w:t>
      </w:r>
      <w:proofErr w:type="spellEnd"/>
      <w:r w:rsidR="007A085D" w:rsidRPr="0034141A">
        <w:rPr>
          <w:rFonts w:ascii="Times New Roman" w:eastAsia="Arial Unicode MS" w:hAnsi="Times New Roman" w:cs="Times New Roman"/>
          <w:i/>
          <w:sz w:val="28"/>
          <w:szCs w:val="28"/>
        </w:rPr>
        <w:t xml:space="preserve"> Nation,</w:t>
      </w:r>
      <w:r w:rsidR="007A085D" w:rsidRPr="0034141A">
        <w:rPr>
          <w:rFonts w:ascii="Times New Roman" w:eastAsia="Arial Unicode MS" w:hAnsi="Times New Roman" w:cs="Times New Roman"/>
          <w:sz w:val="28"/>
          <w:szCs w:val="28"/>
        </w:rPr>
        <w:t xml:space="preserve"> 515 U.S. 450 (1995)</w:t>
      </w:r>
      <w:r w:rsidR="007A085D">
        <w:rPr>
          <w:rFonts w:ascii="Times New Roman" w:eastAsia="Arial Unicode MS" w:hAnsi="Times New Roman" w:cs="Times New Roman"/>
          <w:sz w:val="28"/>
          <w:szCs w:val="28"/>
        </w:rPr>
        <w:t>.</w:t>
      </w:r>
      <w:proofErr w:type="gramEnd"/>
      <w:r w:rsidR="007A085D">
        <w:rPr>
          <w:rFonts w:ascii="Times New Roman" w:eastAsia="Arial Unicode MS" w:hAnsi="Times New Roman" w:cs="Times New Roman"/>
          <w:sz w:val="28"/>
          <w:szCs w:val="28"/>
        </w:rPr>
        <w:t xml:space="preserve">  In requiring that states grant credits for all income taxes paid out-of-state, the court undermines the prerogative of states and their subdivisions to enact a </w:t>
      </w:r>
      <w:r w:rsidR="007A085D" w:rsidRPr="0034141A">
        <w:rPr>
          <w:rFonts w:ascii="Times New Roman" w:eastAsia="Arial Unicode MS" w:hAnsi="Times New Roman" w:cs="Times New Roman"/>
          <w:sz w:val="28"/>
          <w:szCs w:val="28"/>
        </w:rPr>
        <w:t>diversity of mechanisms and structures t</w:t>
      </w:r>
      <w:r w:rsidR="007A085D">
        <w:rPr>
          <w:rFonts w:ascii="Times New Roman" w:eastAsia="Arial Unicode MS" w:hAnsi="Times New Roman" w:cs="Times New Roman"/>
          <w:sz w:val="28"/>
          <w:szCs w:val="28"/>
        </w:rPr>
        <w:t>hat</w:t>
      </w:r>
      <w:r w:rsidR="007A085D" w:rsidRPr="0034141A">
        <w:rPr>
          <w:rFonts w:ascii="Times New Roman" w:eastAsia="Arial Unicode MS" w:hAnsi="Times New Roman" w:cs="Times New Roman"/>
          <w:sz w:val="28"/>
          <w:szCs w:val="28"/>
        </w:rPr>
        <w:t xml:space="preserve"> collect revenues </w:t>
      </w:r>
      <w:r w:rsidR="007A085D">
        <w:rPr>
          <w:rFonts w:ascii="Times New Roman" w:eastAsia="Arial Unicode MS" w:hAnsi="Times New Roman" w:cs="Times New Roman"/>
          <w:sz w:val="28"/>
          <w:szCs w:val="28"/>
        </w:rPr>
        <w:t xml:space="preserve">sufficient </w:t>
      </w:r>
      <w:r w:rsidR="007A085D" w:rsidRPr="0034141A">
        <w:rPr>
          <w:rFonts w:ascii="Times New Roman" w:eastAsia="Arial Unicode MS" w:hAnsi="Times New Roman" w:cs="Times New Roman"/>
          <w:sz w:val="28"/>
          <w:szCs w:val="28"/>
        </w:rPr>
        <w:t>to provide the public services for which they are responsible.</w:t>
      </w:r>
      <w:r w:rsidR="007A085D">
        <w:rPr>
          <w:rFonts w:ascii="Times New Roman" w:eastAsia="Arial Unicode MS" w:hAnsi="Times New Roman" w:cs="Times New Roman"/>
          <w:sz w:val="28"/>
          <w:szCs w:val="28"/>
        </w:rPr>
        <w:t xml:space="preserve"> </w:t>
      </w:r>
      <w:proofErr w:type="gramStart"/>
      <w:r w:rsidR="007A085D" w:rsidRPr="00037144">
        <w:rPr>
          <w:rFonts w:ascii="Times New Roman" w:eastAsia="Arial Unicode MS" w:hAnsi="Times New Roman" w:cs="Times New Roman"/>
          <w:i/>
          <w:sz w:val="28"/>
          <w:szCs w:val="28"/>
        </w:rPr>
        <w:t>Shaffer v. Carter</w:t>
      </w:r>
      <w:r w:rsidR="007A085D">
        <w:rPr>
          <w:rFonts w:ascii="Times New Roman" w:eastAsia="Arial Unicode MS" w:hAnsi="Times New Roman" w:cs="Times New Roman"/>
          <w:sz w:val="28"/>
          <w:szCs w:val="28"/>
        </w:rPr>
        <w:t>, 252 U.S. 37 (1920).</w:t>
      </w:r>
      <w:proofErr w:type="gramEnd"/>
      <w:r w:rsidR="007A085D" w:rsidRPr="0034141A">
        <w:rPr>
          <w:rFonts w:ascii="Times New Roman" w:eastAsia="Arial Unicode MS" w:hAnsi="Times New Roman" w:cs="Times New Roman"/>
          <w:sz w:val="28"/>
          <w:szCs w:val="28"/>
        </w:rPr>
        <w:t xml:space="preserve"> </w:t>
      </w:r>
    </w:p>
    <w:p w:rsidR="00DE4C52" w:rsidRPr="00A477DF" w:rsidRDefault="007A085D" w:rsidP="007A085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C0595E">
        <w:rPr>
          <w:rFonts w:ascii="Times New Roman" w:hAnsi="Times New Roman" w:cs="Times New Roman"/>
          <w:sz w:val="28"/>
          <w:szCs w:val="28"/>
        </w:rPr>
        <w:t>If</w:t>
      </w:r>
      <w:r w:rsidR="004F6D24">
        <w:rPr>
          <w:rFonts w:ascii="Times New Roman" w:hAnsi="Times New Roman" w:cs="Times New Roman"/>
          <w:sz w:val="28"/>
          <w:szCs w:val="28"/>
        </w:rPr>
        <w:t xml:space="preserve"> a </w:t>
      </w:r>
      <w:r w:rsidR="00A477DF">
        <w:rPr>
          <w:rFonts w:ascii="Times New Roman" w:hAnsi="Times New Roman" w:cs="Times New Roman"/>
          <w:sz w:val="28"/>
          <w:szCs w:val="28"/>
        </w:rPr>
        <w:t xml:space="preserve">policy is </w:t>
      </w:r>
      <w:r w:rsidR="004F6D24">
        <w:rPr>
          <w:rFonts w:ascii="Times New Roman" w:hAnsi="Times New Roman" w:cs="Times New Roman"/>
          <w:sz w:val="28"/>
          <w:szCs w:val="28"/>
        </w:rPr>
        <w:t>to be effected r</w:t>
      </w:r>
      <w:r w:rsidR="00A477DF">
        <w:rPr>
          <w:rFonts w:ascii="Times New Roman" w:hAnsi="Times New Roman" w:cs="Times New Roman"/>
          <w:sz w:val="28"/>
          <w:szCs w:val="28"/>
        </w:rPr>
        <w:t>equiring every state in the nation to credit income taxes paid by residents to every other state</w:t>
      </w:r>
      <w:r w:rsidR="004F6D24">
        <w:rPr>
          <w:rFonts w:ascii="Times New Roman" w:hAnsi="Times New Roman" w:cs="Times New Roman"/>
          <w:sz w:val="28"/>
          <w:szCs w:val="28"/>
        </w:rPr>
        <w:t xml:space="preserve">, such action should come from </w:t>
      </w:r>
      <w:r w:rsidR="004F6D24">
        <w:rPr>
          <w:rFonts w:ascii="Times New Roman" w:hAnsi="Times New Roman" w:cs="Times New Roman"/>
          <w:sz w:val="28"/>
          <w:szCs w:val="28"/>
        </w:rPr>
        <w:lastRenderedPageBreak/>
        <w:t>Congress itself.  Otherwise, deference to state sovereignty requires that some discontinuities survive.  This Court has previously explained</w:t>
      </w:r>
      <w:r w:rsidR="00797E10">
        <w:rPr>
          <w:rFonts w:ascii="Times New Roman" w:hAnsi="Times New Roman" w:cs="Times New Roman"/>
          <w:sz w:val="28"/>
          <w:szCs w:val="28"/>
        </w:rPr>
        <w:t xml:space="preserve">, in a decision rendered after </w:t>
      </w:r>
      <w:r w:rsidR="00797E10" w:rsidRPr="00797E10">
        <w:rPr>
          <w:rFonts w:ascii="Times New Roman" w:hAnsi="Times New Roman" w:cs="Times New Roman"/>
          <w:i/>
          <w:sz w:val="28"/>
          <w:szCs w:val="28"/>
        </w:rPr>
        <w:t>Complete Auto</w:t>
      </w:r>
      <w:r w:rsidR="00797E10">
        <w:rPr>
          <w:rFonts w:ascii="Times New Roman" w:hAnsi="Times New Roman" w:cs="Times New Roman"/>
          <w:sz w:val="28"/>
          <w:szCs w:val="28"/>
        </w:rPr>
        <w:t xml:space="preserve">, </w:t>
      </w:r>
      <w:r w:rsidR="004F6D24">
        <w:rPr>
          <w:rFonts w:ascii="Times New Roman" w:hAnsi="Times New Roman" w:cs="Times New Roman"/>
          <w:sz w:val="28"/>
          <w:szCs w:val="28"/>
        </w:rPr>
        <w:t>that the d</w:t>
      </w:r>
      <w:r w:rsidR="00DE4C52" w:rsidRPr="00A477DF">
        <w:rPr>
          <w:rFonts w:ascii="Times New Roman" w:hAnsi="Times New Roman" w:cs="Times New Roman"/>
          <w:sz w:val="28"/>
          <w:szCs w:val="28"/>
        </w:rPr>
        <w:t xml:space="preserve">ormant Commerce Clause does not definitively prevent all overlap in taxation in income.  </w:t>
      </w:r>
      <w:proofErr w:type="gramStart"/>
      <w:r w:rsidR="00DE4C52" w:rsidRPr="009771FC">
        <w:rPr>
          <w:rFonts w:ascii="Times New Roman" w:hAnsi="Times New Roman" w:cs="Times New Roman"/>
          <w:i/>
          <w:sz w:val="28"/>
          <w:szCs w:val="28"/>
        </w:rPr>
        <w:t>See</w:t>
      </w:r>
      <w:r w:rsidR="00DE4C52" w:rsidRPr="00A477DF">
        <w:rPr>
          <w:rFonts w:ascii="Times New Roman" w:hAnsi="Times New Roman" w:cs="Times New Roman"/>
          <w:i/>
          <w:sz w:val="28"/>
          <w:szCs w:val="28"/>
        </w:rPr>
        <w:t xml:space="preserve"> </w:t>
      </w:r>
      <w:r w:rsidR="00DE4C52" w:rsidRPr="00A477DF">
        <w:rPr>
          <w:rFonts w:ascii="Times New Roman" w:hAnsi="Times New Roman" w:cs="Times New Roman"/>
          <w:i/>
          <w:iCs/>
          <w:sz w:val="28"/>
          <w:szCs w:val="28"/>
        </w:rPr>
        <w:t>Moorman Mfg. Co. v. Bair</w:t>
      </w:r>
      <w:r w:rsidR="00DE4C52" w:rsidRPr="00A477DF">
        <w:rPr>
          <w:rFonts w:ascii="Times New Roman" w:hAnsi="Times New Roman" w:cs="Times New Roman"/>
          <w:sz w:val="28"/>
          <w:szCs w:val="28"/>
        </w:rPr>
        <w:t>, 437 U.S. 267, 278-79 (1978)</w:t>
      </w:r>
      <w:r w:rsidR="00797E10">
        <w:rPr>
          <w:rFonts w:ascii="Times New Roman" w:hAnsi="Times New Roman" w:cs="Times New Roman"/>
          <w:sz w:val="28"/>
          <w:szCs w:val="28"/>
        </w:rPr>
        <w:t>.</w:t>
      </w:r>
      <w:proofErr w:type="gramEnd"/>
      <w:r w:rsidR="00797E10">
        <w:rPr>
          <w:rFonts w:ascii="Times New Roman" w:hAnsi="Times New Roman" w:cs="Times New Roman"/>
          <w:sz w:val="28"/>
          <w:szCs w:val="28"/>
        </w:rPr>
        <w:t xml:space="preserve"> </w:t>
      </w:r>
      <w:r w:rsidR="00DE4C52" w:rsidRPr="00A477DF">
        <w:rPr>
          <w:rFonts w:ascii="Times New Roman" w:hAnsi="Times New Roman" w:cs="Times New Roman"/>
          <w:sz w:val="28"/>
          <w:szCs w:val="28"/>
        </w:rPr>
        <w:t xml:space="preserve"> In holding that a constitutional ban on double taxation is inappropriate, this Court explained: </w:t>
      </w:r>
    </w:p>
    <w:p w:rsidR="00DE4C52" w:rsidRPr="00A477DF" w:rsidRDefault="00DE4C52" w:rsidP="007A085D">
      <w:pPr>
        <w:spacing w:line="240" w:lineRule="auto"/>
        <w:ind w:left="720"/>
        <w:jc w:val="both"/>
        <w:rPr>
          <w:rFonts w:ascii="Times New Roman" w:hAnsi="Times New Roman" w:cs="Times New Roman"/>
          <w:sz w:val="28"/>
          <w:szCs w:val="28"/>
        </w:rPr>
      </w:pPr>
      <w:proofErr w:type="gramStart"/>
      <w:r w:rsidRPr="00A477DF">
        <w:rPr>
          <w:rFonts w:ascii="Times New Roman" w:hAnsi="Times New Roman" w:cs="Times New Roman"/>
          <w:sz w:val="28"/>
          <w:szCs w:val="28"/>
        </w:rPr>
        <w:t>If the Constitution were read to mandate [a prohibition of any overlap in the computation of taxable income by the States], the consequences would extend far beyond this particular case.</w:t>
      </w:r>
      <w:proofErr w:type="gramEnd"/>
      <w:r w:rsidRPr="00A477DF">
        <w:rPr>
          <w:rFonts w:ascii="Times New Roman" w:hAnsi="Times New Roman" w:cs="Times New Roman"/>
          <w:sz w:val="28"/>
          <w:szCs w:val="28"/>
        </w:rPr>
        <w:t xml:space="preserve"> </w:t>
      </w:r>
      <w:r w:rsidR="00A477DF">
        <w:rPr>
          <w:rFonts w:ascii="Times New Roman" w:hAnsi="Times New Roman" w:cs="Times New Roman"/>
          <w:sz w:val="28"/>
          <w:szCs w:val="28"/>
        </w:rPr>
        <w:t xml:space="preserve"> </w:t>
      </w:r>
      <w:r w:rsidRPr="00A477DF">
        <w:rPr>
          <w:rFonts w:ascii="Times New Roman" w:hAnsi="Times New Roman" w:cs="Times New Roman"/>
          <w:i/>
          <w:sz w:val="28"/>
          <w:szCs w:val="28"/>
        </w:rPr>
        <w:t>For some risk of duplicative taxation exists whenever the States in which a corporation does business do not follow identical rules for the division of income</w:t>
      </w:r>
      <w:r w:rsidRPr="00A477DF">
        <w:rPr>
          <w:rFonts w:ascii="Times New Roman" w:hAnsi="Times New Roman" w:cs="Times New Roman"/>
          <w:sz w:val="28"/>
          <w:szCs w:val="28"/>
        </w:rPr>
        <w:t>…</w:t>
      </w:r>
    </w:p>
    <w:p w:rsidR="00DE4C52" w:rsidRPr="00A477DF" w:rsidRDefault="00DE4C52" w:rsidP="007A085D">
      <w:pPr>
        <w:spacing w:line="240" w:lineRule="auto"/>
        <w:ind w:left="720"/>
        <w:jc w:val="both"/>
        <w:rPr>
          <w:rFonts w:ascii="Times New Roman" w:hAnsi="Times New Roman" w:cs="Times New Roman"/>
          <w:sz w:val="28"/>
          <w:szCs w:val="28"/>
          <w:u w:val="single"/>
        </w:rPr>
      </w:pPr>
      <w:r w:rsidRPr="00A477DF">
        <w:rPr>
          <w:rFonts w:ascii="Times New Roman" w:hAnsi="Times New Roman" w:cs="Times New Roman"/>
          <w:sz w:val="28"/>
          <w:szCs w:val="28"/>
        </w:rPr>
        <w:t xml:space="preserve">While the freedom of the States to formulate independent policy in this area may have to yield to an overriding national interest in uniformity, the content of any uniform rules to which they must subscribe should be determined only after due consideration is given to the interests of all affected States. </w:t>
      </w:r>
      <w:r w:rsidR="00A477DF">
        <w:rPr>
          <w:rFonts w:ascii="Times New Roman" w:hAnsi="Times New Roman" w:cs="Times New Roman"/>
          <w:sz w:val="28"/>
          <w:szCs w:val="28"/>
        </w:rPr>
        <w:t xml:space="preserve"> </w:t>
      </w:r>
      <w:r w:rsidRPr="00A477DF">
        <w:rPr>
          <w:rFonts w:ascii="Times New Roman" w:hAnsi="Times New Roman" w:cs="Times New Roman"/>
          <w:i/>
          <w:sz w:val="28"/>
          <w:szCs w:val="28"/>
        </w:rPr>
        <w:t>It is clear that the legislative power granted to Congress by the Commerce Clause of the Constitution would amply justify the enactment of legislation requiring all States to adhere to uniform rules for the division of income. It is to that body, and not this Court, that the Constitution has committed such policy decisions.</w:t>
      </w:r>
    </w:p>
    <w:p w:rsidR="00DE4C52" w:rsidRDefault="000C102D" w:rsidP="007A085D">
      <w:pPr>
        <w:spacing w:line="240" w:lineRule="auto"/>
        <w:rPr>
          <w:rFonts w:ascii="Times New Roman" w:hAnsi="Times New Roman" w:cs="Times New Roman"/>
          <w:sz w:val="28"/>
          <w:szCs w:val="28"/>
        </w:rPr>
      </w:pPr>
      <w:r>
        <w:rPr>
          <w:rFonts w:ascii="Times New Roman" w:hAnsi="Times New Roman" w:cs="Times New Roman"/>
          <w:i/>
          <w:sz w:val="28"/>
          <w:szCs w:val="28"/>
        </w:rPr>
        <w:t>Id.</w:t>
      </w:r>
      <w:r>
        <w:rPr>
          <w:rFonts w:ascii="Times New Roman" w:hAnsi="Times New Roman" w:cs="Times New Roman"/>
          <w:sz w:val="28"/>
          <w:szCs w:val="28"/>
        </w:rPr>
        <w:t xml:space="preserve"> </w:t>
      </w:r>
      <w:r w:rsidR="00DE4C52" w:rsidRPr="00A477DF">
        <w:rPr>
          <w:rFonts w:ascii="Times New Roman" w:hAnsi="Times New Roman" w:cs="Times New Roman"/>
          <w:sz w:val="28"/>
          <w:szCs w:val="28"/>
        </w:rPr>
        <w:t>(emphasis added).</w:t>
      </w:r>
    </w:p>
    <w:p w:rsidR="000C102D" w:rsidRDefault="00DF525F" w:rsidP="007A085D">
      <w:pPr>
        <w:autoSpaceDE w:val="0"/>
        <w:autoSpaceDN w:val="0"/>
        <w:adjustRightInd w:val="0"/>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eastAsia="Arial Unicode MS" w:hAnsi="Times New Roman" w:cs="Times New Roman"/>
          <w:sz w:val="28"/>
          <w:szCs w:val="28"/>
        </w:rPr>
        <w:t>Th</w:t>
      </w:r>
      <w:r w:rsidR="000C102D">
        <w:rPr>
          <w:rFonts w:ascii="Times New Roman" w:eastAsia="Arial Unicode MS" w:hAnsi="Times New Roman" w:cs="Times New Roman"/>
          <w:sz w:val="28"/>
          <w:szCs w:val="28"/>
        </w:rPr>
        <w:t>e</w:t>
      </w:r>
      <w:r>
        <w:rPr>
          <w:rFonts w:ascii="Times New Roman" w:eastAsia="Arial Unicode MS" w:hAnsi="Times New Roman" w:cs="Times New Roman"/>
          <w:sz w:val="28"/>
          <w:szCs w:val="28"/>
        </w:rPr>
        <w:t xml:space="preserve"> </w:t>
      </w:r>
      <w:r w:rsidR="00E630BD">
        <w:rPr>
          <w:rFonts w:ascii="Times New Roman" w:eastAsia="Arial Unicode MS" w:hAnsi="Times New Roman" w:cs="Times New Roman"/>
          <w:sz w:val="28"/>
          <w:szCs w:val="28"/>
        </w:rPr>
        <w:t xml:space="preserve">far-reaching </w:t>
      </w:r>
      <w:r>
        <w:rPr>
          <w:rFonts w:ascii="Times New Roman" w:eastAsia="Arial Unicode MS" w:hAnsi="Times New Roman" w:cs="Times New Roman"/>
          <w:sz w:val="28"/>
          <w:szCs w:val="28"/>
        </w:rPr>
        <w:t>i</w:t>
      </w:r>
      <w:r w:rsidR="00E630BD">
        <w:rPr>
          <w:rFonts w:ascii="Times New Roman" w:eastAsia="Arial Unicode MS" w:hAnsi="Times New Roman" w:cs="Times New Roman"/>
          <w:sz w:val="28"/>
          <w:szCs w:val="28"/>
        </w:rPr>
        <w:t xml:space="preserve">mplications of </w:t>
      </w:r>
      <w:r w:rsidR="00430095">
        <w:rPr>
          <w:rFonts w:ascii="Times New Roman" w:eastAsia="Arial Unicode MS" w:hAnsi="Times New Roman" w:cs="Times New Roman"/>
          <w:sz w:val="28"/>
          <w:szCs w:val="28"/>
        </w:rPr>
        <w:t xml:space="preserve">the decision of </w:t>
      </w:r>
      <w:r w:rsidR="00E630BD">
        <w:rPr>
          <w:rFonts w:ascii="Times New Roman" w:eastAsia="Arial Unicode MS" w:hAnsi="Times New Roman" w:cs="Times New Roman"/>
          <w:sz w:val="28"/>
          <w:szCs w:val="28"/>
        </w:rPr>
        <w:t xml:space="preserve">the Maryland Court of Appeals </w:t>
      </w:r>
      <w:r w:rsidR="007A085D">
        <w:rPr>
          <w:rFonts w:ascii="Times New Roman" w:eastAsia="Arial Unicode MS" w:hAnsi="Times New Roman" w:cs="Times New Roman"/>
          <w:sz w:val="28"/>
          <w:szCs w:val="28"/>
        </w:rPr>
        <w:t xml:space="preserve">on state sovereignty </w:t>
      </w:r>
      <w:r w:rsidR="00E630BD">
        <w:rPr>
          <w:rFonts w:ascii="Times New Roman" w:eastAsia="Arial Unicode MS" w:hAnsi="Times New Roman" w:cs="Times New Roman"/>
          <w:sz w:val="28"/>
          <w:szCs w:val="28"/>
        </w:rPr>
        <w:t xml:space="preserve">are not </w:t>
      </w:r>
      <w:r>
        <w:rPr>
          <w:rFonts w:ascii="Times New Roman" w:eastAsia="Arial Unicode MS" w:hAnsi="Times New Roman" w:cs="Times New Roman"/>
          <w:sz w:val="28"/>
          <w:szCs w:val="28"/>
        </w:rPr>
        <w:t>hypothetical</w:t>
      </w:r>
      <w:r w:rsidR="00E630BD">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While se</w:t>
      </w:r>
      <w:r w:rsidRPr="0034141A">
        <w:rPr>
          <w:rFonts w:ascii="Times New Roman" w:eastAsia="Arial Unicode MS" w:hAnsi="Times New Roman" w:cs="Times New Roman"/>
          <w:sz w:val="28"/>
          <w:szCs w:val="28"/>
        </w:rPr>
        <w:t>ven states have chosen not to tax personal income at all</w:t>
      </w:r>
      <w:r>
        <w:rPr>
          <w:rFonts w:ascii="Times New Roman" w:eastAsia="Arial Unicode MS" w:hAnsi="Times New Roman" w:cs="Times New Roman"/>
          <w:sz w:val="28"/>
          <w:szCs w:val="28"/>
        </w:rPr>
        <w:t>, t</w:t>
      </w:r>
      <w:r w:rsidRPr="0034141A">
        <w:rPr>
          <w:rFonts w:ascii="Times New Roman" w:eastAsia="Arial Unicode MS" w:hAnsi="Times New Roman" w:cs="Times New Roman"/>
          <w:sz w:val="28"/>
          <w:szCs w:val="28"/>
        </w:rPr>
        <w:t xml:space="preserve">he remaining forty-three states and the District of Columbia levy a tax on personal income.  So do nearly 5,000 </w:t>
      </w:r>
      <w:r>
        <w:rPr>
          <w:rFonts w:ascii="Times New Roman" w:eastAsia="Arial Unicode MS" w:hAnsi="Times New Roman" w:cs="Times New Roman"/>
          <w:sz w:val="28"/>
          <w:szCs w:val="28"/>
        </w:rPr>
        <w:t xml:space="preserve">state </w:t>
      </w:r>
      <w:r w:rsidRPr="0034141A">
        <w:rPr>
          <w:rFonts w:ascii="Times New Roman" w:eastAsia="Arial Unicode MS" w:hAnsi="Times New Roman" w:cs="Times New Roman"/>
          <w:sz w:val="28"/>
          <w:szCs w:val="28"/>
        </w:rPr>
        <w:t>subdivisions—counties, cities and special districts around the country</w:t>
      </w:r>
      <w:r>
        <w:rPr>
          <w:rFonts w:ascii="Times New Roman" w:eastAsia="Arial Unicode MS" w:hAnsi="Times New Roman" w:cs="Times New Roman"/>
          <w:sz w:val="28"/>
          <w:szCs w:val="28"/>
        </w:rPr>
        <w:t>, many of which are IMLA members</w:t>
      </w:r>
      <w:r w:rsidRPr="0034141A">
        <w:rPr>
          <w:rFonts w:ascii="Times New Roman" w:eastAsia="Arial Unicode MS" w:hAnsi="Times New Roman" w:cs="Times New Roman"/>
          <w:sz w:val="28"/>
          <w:szCs w:val="28"/>
        </w:rPr>
        <w:t>.</w:t>
      </w:r>
      <w:r w:rsidRPr="0034141A">
        <w:rPr>
          <w:rStyle w:val="FootnoteReference"/>
          <w:rFonts w:ascii="Times New Roman" w:eastAsia="Arial Unicode MS" w:hAnsi="Times New Roman"/>
          <w:sz w:val="28"/>
          <w:szCs w:val="28"/>
        </w:rPr>
        <w:footnoteReference w:id="9"/>
      </w:r>
      <w:r w:rsidRPr="003414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141A">
        <w:rPr>
          <w:rFonts w:ascii="Times New Roman" w:hAnsi="Times New Roman" w:cs="Times New Roman"/>
          <w:sz w:val="28"/>
          <w:szCs w:val="28"/>
        </w:rPr>
        <w:t>Each of Maryland’s counties assesses an income tax, at rates from 1.25% to 3.2%.</w:t>
      </w:r>
      <w:r>
        <w:rPr>
          <w:rStyle w:val="FootnoteReference"/>
          <w:rFonts w:ascii="Times New Roman" w:hAnsi="Times New Roman"/>
          <w:sz w:val="28"/>
          <w:szCs w:val="28"/>
        </w:rPr>
        <w:footnoteReference w:id="10"/>
      </w:r>
      <w:r w:rsidRPr="0034141A">
        <w:rPr>
          <w:rFonts w:ascii="Times New Roman" w:hAnsi="Times New Roman" w:cs="Times New Roman"/>
          <w:sz w:val="28"/>
          <w:szCs w:val="28"/>
        </w:rPr>
        <w:t xml:space="preserve">  So too do Indiana’s 92 counties, assessing income taxes at rates up to 3.13%.</w:t>
      </w:r>
      <w:r w:rsidRPr="0034141A">
        <w:rPr>
          <w:rStyle w:val="FootnoteReference"/>
          <w:rFonts w:ascii="Times New Roman" w:hAnsi="Times New Roman"/>
          <w:sz w:val="28"/>
          <w:szCs w:val="28"/>
        </w:rPr>
        <w:footnoteReference w:id="11"/>
      </w:r>
      <w:r w:rsidRPr="0034141A">
        <w:rPr>
          <w:rFonts w:ascii="Times New Roman" w:hAnsi="Times New Roman" w:cs="Times New Roman"/>
          <w:sz w:val="28"/>
          <w:szCs w:val="28"/>
        </w:rPr>
        <w:t xml:space="preserve">  In Ohio, 593 municipalities and 181 school districts assess such a tax;</w:t>
      </w:r>
      <w:r w:rsidRPr="0034141A">
        <w:rPr>
          <w:rStyle w:val="FootnoteReference"/>
          <w:rFonts w:ascii="Times New Roman" w:hAnsi="Times New Roman"/>
          <w:sz w:val="28"/>
          <w:szCs w:val="28"/>
        </w:rPr>
        <w:footnoteReference w:id="12"/>
      </w:r>
      <w:r w:rsidRPr="0034141A">
        <w:rPr>
          <w:rFonts w:ascii="Times New Roman" w:hAnsi="Times New Roman" w:cs="Times New Roman"/>
          <w:sz w:val="28"/>
          <w:szCs w:val="28"/>
        </w:rPr>
        <w:t xml:space="preserve"> as do 2,469 municipalities and 469 school districts in Pennsylvania.</w:t>
      </w:r>
      <w:r w:rsidRPr="0034141A">
        <w:rPr>
          <w:rStyle w:val="FootnoteReference"/>
          <w:rFonts w:ascii="Times New Roman" w:hAnsi="Times New Roman"/>
          <w:sz w:val="28"/>
          <w:szCs w:val="28"/>
        </w:rPr>
        <w:footnoteReference w:id="13"/>
      </w:r>
      <w:r w:rsidRPr="003414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141A">
        <w:rPr>
          <w:rFonts w:ascii="Times New Roman" w:hAnsi="Times New Roman" w:cs="Times New Roman"/>
          <w:sz w:val="28"/>
          <w:szCs w:val="28"/>
        </w:rPr>
        <w:t>Many cities and school districts in Iowa and Michigan also assess these taxes.</w:t>
      </w:r>
      <w:r w:rsidRPr="0034141A">
        <w:rPr>
          <w:rStyle w:val="FootnoteReference"/>
          <w:rFonts w:ascii="Times New Roman" w:hAnsi="Times New Roman"/>
          <w:sz w:val="28"/>
          <w:szCs w:val="28"/>
        </w:rPr>
        <w:footnoteReference w:id="14"/>
      </w:r>
      <w:r w:rsidRPr="0034141A">
        <w:rPr>
          <w:rFonts w:ascii="Times New Roman" w:hAnsi="Times New Roman" w:cs="Times New Roman"/>
          <w:sz w:val="28"/>
          <w:szCs w:val="28"/>
        </w:rPr>
        <w:t xml:space="preserve">  Major </w:t>
      </w:r>
      <w:r w:rsidRPr="0034141A">
        <w:rPr>
          <w:rFonts w:ascii="Times New Roman" w:hAnsi="Times New Roman" w:cs="Times New Roman"/>
          <w:sz w:val="28"/>
          <w:szCs w:val="28"/>
        </w:rPr>
        <w:lastRenderedPageBreak/>
        <w:t>cities frequently charge income taxes; Philadelphia’s resident income tax is 3.92</w:t>
      </w:r>
      <w:r w:rsidR="006D4E1D">
        <w:rPr>
          <w:rFonts w:ascii="Times New Roman" w:hAnsi="Times New Roman" w:cs="Times New Roman"/>
          <w:sz w:val="28"/>
          <w:szCs w:val="28"/>
        </w:rPr>
        <w:t>4</w:t>
      </w:r>
      <w:r w:rsidRPr="0034141A">
        <w:rPr>
          <w:rFonts w:ascii="Times New Roman" w:hAnsi="Times New Roman" w:cs="Times New Roman"/>
          <w:sz w:val="28"/>
          <w:szCs w:val="28"/>
        </w:rPr>
        <w:t>% on residents and 3.49</w:t>
      </w:r>
      <w:r w:rsidR="006D4E1D">
        <w:rPr>
          <w:rFonts w:ascii="Times New Roman" w:hAnsi="Times New Roman" w:cs="Times New Roman"/>
          <w:sz w:val="28"/>
          <w:szCs w:val="28"/>
        </w:rPr>
        <w:t>5</w:t>
      </w:r>
      <w:r w:rsidRPr="0034141A">
        <w:rPr>
          <w:rFonts w:ascii="Times New Roman" w:hAnsi="Times New Roman" w:cs="Times New Roman"/>
          <w:sz w:val="28"/>
          <w:szCs w:val="28"/>
        </w:rPr>
        <w:t>% on non residents.</w:t>
      </w:r>
      <w:r w:rsidRPr="0034141A">
        <w:rPr>
          <w:rStyle w:val="FootnoteReference"/>
          <w:rFonts w:ascii="Times New Roman" w:hAnsi="Times New Roman"/>
          <w:sz w:val="28"/>
          <w:szCs w:val="28"/>
        </w:rPr>
        <w:footnoteReference w:id="15"/>
      </w:r>
      <w:r w:rsidRPr="0034141A">
        <w:rPr>
          <w:rFonts w:ascii="Times New Roman" w:hAnsi="Times New Roman" w:cs="Times New Roman"/>
          <w:sz w:val="28"/>
          <w:szCs w:val="28"/>
        </w:rPr>
        <w:t xml:space="preserve"> </w:t>
      </w:r>
      <w:r w:rsidR="0044762C">
        <w:rPr>
          <w:rFonts w:ascii="Times New Roman" w:hAnsi="Times New Roman" w:cs="Times New Roman"/>
          <w:sz w:val="28"/>
          <w:szCs w:val="28"/>
        </w:rPr>
        <w:t xml:space="preserve"> </w:t>
      </w:r>
    </w:p>
    <w:p w:rsidR="00DF525F" w:rsidRPr="0034141A" w:rsidRDefault="00DF525F" w:rsidP="00DF525F">
      <w:pPr>
        <w:pStyle w:val="FootnoteText"/>
        <w:jc w:val="both"/>
        <w:rPr>
          <w:rFonts w:ascii="Times New Roman" w:hAnsi="Times New Roman" w:cs="Times New Roman"/>
          <w:sz w:val="28"/>
          <w:szCs w:val="28"/>
        </w:rPr>
      </w:pPr>
      <w:r>
        <w:rPr>
          <w:rFonts w:ascii="Times New Roman" w:hAnsi="Times New Roman" w:cs="Times New Roman"/>
          <w:sz w:val="28"/>
          <w:szCs w:val="28"/>
        </w:rPr>
        <w:tab/>
        <w:t xml:space="preserve">These municipalities have enacted statutes to collect taxes from individuals and businesses, whether resident or non-resident, which generate revenues and income within their boundaries and thereby benefit from the governmental </w:t>
      </w:r>
      <w:r w:rsidR="007A085D">
        <w:rPr>
          <w:rFonts w:ascii="Times New Roman" w:hAnsi="Times New Roman" w:cs="Times New Roman"/>
          <w:sz w:val="28"/>
          <w:szCs w:val="28"/>
        </w:rPr>
        <w:t>infrastructure</w:t>
      </w:r>
      <w:r>
        <w:rPr>
          <w:rFonts w:ascii="Times New Roman" w:hAnsi="Times New Roman" w:cs="Times New Roman"/>
          <w:sz w:val="28"/>
          <w:szCs w:val="28"/>
        </w:rPr>
        <w:t xml:space="preserve"> which allow</w:t>
      </w:r>
      <w:r w:rsidR="007A085D">
        <w:rPr>
          <w:rFonts w:ascii="Times New Roman" w:hAnsi="Times New Roman" w:cs="Times New Roman"/>
          <w:sz w:val="28"/>
          <w:szCs w:val="28"/>
        </w:rPr>
        <w:t>s</w:t>
      </w:r>
      <w:r>
        <w:rPr>
          <w:rFonts w:ascii="Times New Roman" w:hAnsi="Times New Roman" w:cs="Times New Roman"/>
          <w:sz w:val="28"/>
          <w:szCs w:val="28"/>
        </w:rPr>
        <w:t xml:space="preserve"> such activity to flourish.  </w:t>
      </w:r>
      <w:r w:rsidR="007A085D" w:rsidRPr="004B1394">
        <w:rPr>
          <w:rFonts w:ascii="Times New Roman" w:eastAsia="Arial Unicode MS" w:hAnsi="Times New Roman"/>
          <w:sz w:val="28"/>
          <w:szCs w:val="28"/>
        </w:rPr>
        <w:t xml:space="preserve">Local jurisdictions have the burden of providing </w:t>
      </w:r>
      <w:r w:rsidR="007A085D">
        <w:rPr>
          <w:rFonts w:ascii="Times New Roman" w:eastAsia="Arial Unicode MS" w:hAnsi="Times New Roman"/>
          <w:sz w:val="28"/>
          <w:szCs w:val="28"/>
        </w:rPr>
        <w:t xml:space="preserve">these </w:t>
      </w:r>
      <w:r w:rsidR="007A085D" w:rsidRPr="004B1394">
        <w:rPr>
          <w:rFonts w:ascii="Times New Roman" w:eastAsia="Arial Unicode MS" w:hAnsi="Times New Roman"/>
          <w:sz w:val="28"/>
          <w:szCs w:val="28"/>
        </w:rPr>
        <w:t xml:space="preserve">residents a multitude of services </w:t>
      </w:r>
      <w:r w:rsidR="007A085D">
        <w:rPr>
          <w:rFonts w:ascii="Times New Roman" w:eastAsia="Arial Unicode MS" w:hAnsi="Times New Roman"/>
          <w:sz w:val="28"/>
          <w:szCs w:val="28"/>
        </w:rPr>
        <w:t>including</w:t>
      </w:r>
      <w:r w:rsidR="007A085D" w:rsidRPr="004B1394">
        <w:rPr>
          <w:rFonts w:ascii="Times New Roman" w:eastAsia="Arial Unicode MS" w:hAnsi="Times New Roman"/>
          <w:sz w:val="28"/>
          <w:szCs w:val="28"/>
        </w:rPr>
        <w:t xml:space="preserve"> police and fire protection, schools, roads, water, </w:t>
      </w:r>
      <w:r w:rsidR="007A085D">
        <w:rPr>
          <w:rFonts w:ascii="Times New Roman" w:eastAsia="Arial Unicode MS" w:hAnsi="Times New Roman"/>
          <w:sz w:val="28"/>
          <w:szCs w:val="28"/>
        </w:rPr>
        <w:t xml:space="preserve">trash collection, building inspection, </w:t>
      </w:r>
      <w:r w:rsidR="007A085D" w:rsidRPr="004B1394">
        <w:rPr>
          <w:rFonts w:ascii="Times New Roman" w:eastAsia="Arial Unicode MS" w:hAnsi="Times New Roman"/>
          <w:sz w:val="28"/>
          <w:szCs w:val="28"/>
        </w:rPr>
        <w:t>land use zoning and planning</w:t>
      </w:r>
      <w:r w:rsidR="007A085D">
        <w:rPr>
          <w:rFonts w:ascii="Times New Roman" w:eastAsia="Arial Unicode MS" w:hAnsi="Times New Roman"/>
          <w:sz w:val="28"/>
          <w:szCs w:val="28"/>
        </w:rPr>
        <w:t>, and the promotion of culture and entertainment</w:t>
      </w:r>
      <w:r w:rsidR="007A085D" w:rsidRPr="004B1394">
        <w:rPr>
          <w:rFonts w:ascii="Times New Roman" w:eastAsia="Arial Unicode MS" w:hAnsi="Times New Roman"/>
          <w:sz w:val="28"/>
          <w:szCs w:val="28"/>
        </w:rPr>
        <w:t>.</w:t>
      </w:r>
      <w:r w:rsidR="007A085D">
        <w:rPr>
          <w:rFonts w:ascii="Times New Roman" w:eastAsia="Arial Unicode MS" w:hAnsi="Times New Roman"/>
          <w:sz w:val="28"/>
          <w:szCs w:val="28"/>
        </w:rPr>
        <w:t xml:space="preserve"> </w:t>
      </w:r>
      <w:r>
        <w:rPr>
          <w:rFonts w:ascii="Times New Roman" w:hAnsi="Times New Roman" w:cs="Times New Roman"/>
          <w:sz w:val="28"/>
          <w:szCs w:val="28"/>
        </w:rPr>
        <w:t xml:space="preserve">The prerogative of states to authorize a diversity of taxing mechanisms </w:t>
      </w:r>
      <w:r w:rsidR="00E50015">
        <w:rPr>
          <w:rFonts w:ascii="Times New Roman" w:hAnsi="Times New Roman" w:cs="Times New Roman"/>
          <w:sz w:val="28"/>
          <w:szCs w:val="28"/>
        </w:rPr>
        <w:t xml:space="preserve">to fund these benefits is </w:t>
      </w:r>
      <w:r>
        <w:rPr>
          <w:rFonts w:ascii="Times New Roman" w:hAnsi="Times New Roman" w:cs="Times New Roman"/>
          <w:sz w:val="28"/>
          <w:szCs w:val="28"/>
        </w:rPr>
        <w:t xml:space="preserve">unquestioned.  </w:t>
      </w:r>
      <w:proofErr w:type="spellStart"/>
      <w:proofErr w:type="gramStart"/>
      <w:r w:rsidRPr="00C55AF1">
        <w:rPr>
          <w:rFonts w:ascii="Times New Roman" w:hAnsi="Times New Roman" w:cs="Times New Roman"/>
          <w:i/>
          <w:sz w:val="28"/>
          <w:szCs w:val="28"/>
        </w:rPr>
        <w:t>Shafffer</w:t>
      </w:r>
      <w:proofErr w:type="spellEnd"/>
      <w:r w:rsidRPr="00C55AF1">
        <w:rPr>
          <w:rFonts w:ascii="Times New Roman" w:hAnsi="Times New Roman" w:cs="Times New Roman"/>
          <w:i/>
          <w:sz w:val="28"/>
          <w:szCs w:val="28"/>
        </w:rPr>
        <w:t>, supra</w:t>
      </w:r>
      <w:r>
        <w:rPr>
          <w:rFonts w:ascii="Times New Roman" w:hAnsi="Times New Roman" w:cs="Times New Roman"/>
          <w:sz w:val="28"/>
          <w:szCs w:val="28"/>
        </w:rPr>
        <w:t>.</w:t>
      </w:r>
      <w:proofErr w:type="gramEnd"/>
    </w:p>
    <w:p w:rsidR="00DF525F" w:rsidRPr="0034141A" w:rsidRDefault="00DF525F" w:rsidP="00DF525F">
      <w:pPr>
        <w:pStyle w:val="FootnoteText"/>
        <w:jc w:val="both"/>
        <w:rPr>
          <w:rFonts w:ascii="Times New Roman" w:eastAsia="Arial Unicode MS" w:hAnsi="Times New Roman" w:cs="Times New Roman"/>
          <w:sz w:val="28"/>
          <w:szCs w:val="28"/>
        </w:rPr>
      </w:pPr>
      <w:r w:rsidRPr="0034141A">
        <w:rPr>
          <w:rFonts w:ascii="Times New Roman" w:hAnsi="Times New Roman" w:cs="Times New Roman"/>
          <w:sz w:val="28"/>
          <w:szCs w:val="28"/>
        </w:rPr>
        <w:tab/>
      </w:r>
      <w:r>
        <w:rPr>
          <w:rFonts w:ascii="Times New Roman" w:hAnsi="Times New Roman" w:cs="Times New Roman"/>
          <w:sz w:val="28"/>
          <w:szCs w:val="28"/>
        </w:rPr>
        <w:t>The mischief inherent in the Maryland Court of Appeals’ decision arises from the fact th</w:t>
      </w:r>
      <w:r w:rsidR="00430095">
        <w:rPr>
          <w:rFonts w:ascii="Times New Roman" w:hAnsi="Times New Roman" w:cs="Times New Roman"/>
          <w:sz w:val="28"/>
          <w:szCs w:val="28"/>
        </w:rPr>
        <w:t>at</w:t>
      </w:r>
      <w:r>
        <w:rPr>
          <w:rFonts w:ascii="Times New Roman" w:hAnsi="Times New Roman" w:cs="Times New Roman"/>
          <w:sz w:val="28"/>
          <w:szCs w:val="28"/>
        </w:rPr>
        <w:t xml:space="preserve"> </w:t>
      </w:r>
      <w:r>
        <w:rPr>
          <w:rFonts w:ascii="Times New Roman" w:eastAsia="Arial Unicode MS" w:hAnsi="Times New Roman" w:cs="Times New Roman"/>
          <w:b/>
          <w:i/>
          <w:sz w:val="28"/>
          <w:szCs w:val="28"/>
        </w:rPr>
        <w:t>m</w:t>
      </w:r>
      <w:r w:rsidRPr="0034141A">
        <w:rPr>
          <w:rFonts w:ascii="Times New Roman" w:eastAsia="Arial Unicode MS" w:hAnsi="Times New Roman" w:cs="Times New Roman"/>
          <w:b/>
          <w:i/>
          <w:sz w:val="28"/>
          <w:szCs w:val="28"/>
        </w:rPr>
        <w:t xml:space="preserve">any states </w:t>
      </w:r>
      <w:r w:rsidR="006D4E1D">
        <w:rPr>
          <w:rFonts w:ascii="Times New Roman" w:eastAsia="Arial Unicode MS" w:hAnsi="Times New Roman" w:cs="Times New Roman"/>
          <w:b/>
          <w:i/>
          <w:sz w:val="28"/>
          <w:szCs w:val="28"/>
        </w:rPr>
        <w:t xml:space="preserve">and municipalities </w:t>
      </w:r>
      <w:r w:rsidRPr="0034141A">
        <w:rPr>
          <w:rFonts w:ascii="Times New Roman" w:eastAsia="Arial Unicode MS" w:hAnsi="Times New Roman" w:cs="Times New Roman"/>
          <w:b/>
          <w:i/>
          <w:sz w:val="28"/>
          <w:szCs w:val="28"/>
        </w:rPr>
        <w:t>do not grant a complete credit to their residents for all income taxes paid in other states</w:t>
      </w:r>
      <w:r w:rsidR="006D4E1D">
        <w:rPr>
          <w:rFonts w:ascii="Times New Roman" w:eastAsia="Arial Unicode MS" w:hAnsi="Times New Roman" w:cs="Times New Roman"/>
          <w:b/>
          <w:i/>
          <w:sz w:val="28"/>
          <w:szCs w:val="28"/>
        </w:rPr>
        <w:t xml:space="preserve"> and municipalities</w:t>
      </w:r>
      <w:r w:rsidRPr="0034141A">
        <w:rPr>
          <w:rFonts w:ascii="Times New Roman" w:eastAsia="Arial Unicode MS" w:hAnsi="Times New Roman" w:cs="Times New Roman"/>
          <w:b/>
          <w:i/>
          <w:sz w:val="28"/>
          <w:szCs w:val="28"/>
        </w:rPr>
        <w:t>.</w:t>
      </w:r>
      <w:r w:rsidRPr="0034141A">
        <w:rPr>
          <w:rFonts w:ascii="Times New Roman" w:eastAsia="Arial Unicode MS" w:hAnsi="Times New Roman" w:cs="Times New Roman"/>
          <w:sz w:val="28"/>
          <w:szCs w:val="28"/>
        </w:rPr>
        <w:t xml:space="preserve">  For example, Arizona’s Form 309 (“Credit for Taxes Paid to Another State or Country”) states:  “Important—As an Arizona resident, nonresident returns filed with the following states DO NOT QUALIFY for the credit:  Alaska, California, District of Columbia, Florida, Indiana, Nevada, New Hampshire, Oregon, South Dakota, Tennessee, Texas, Virginia, Washington and Wyoming.” </w:t>
      </w:r>
      <w:r>
        <w:rPr>
          <w:rFonts w:ascii="Times New Roman" w:eastAsia="Arial Unicode MS" w:hAnsi="Times New Roman" w:cs="Times New Roman"/>
          <w:sz w:val="28"/>
          <w:szCs w:val="28"/>
        </w:rPr>
        <w:t>Seven of the named states charge some form of income tax on nonresidents.</w:t>
      </w:r>
      <w:r>
        <w:rPr>
          <w:rStyle w:val="FootnoteReference"/>
          <w:rFonts w:ascii="Times New Roman" w:eastAsia="Arial Unicode MS" w:hAnsi="Times New Roman"/>
          <w:sz w:val="28"/>
          <w:szCs w:val="28"/>
        </w:rPr>
        <w:footnoteReference w:id="16"/>
      </w:r>
      <w:r w:rsidR="00C0595E">
        <w:rPr>
          <w:rFonts w:ascii="Times New Roman" w:eastAsia="Arial Unicode MS" w:hAnsi="Times New Roman" w:cs="Times New Roman"/>
          <w:sz w:val="28"/>
          <w:szCs w:val="28"/>
        </w:rPr>
        <w:t xml:space="preserve">  Indeed, </w:t>
      </w:r>
      <w:r w:rsidR="00C0595E">
        <w:rPr>
          <w:rFonts w:ascii="Times New Roman" w:hAnsi="Times New Roman" w:cs="Times New Roman"/>
          <w:sz w:val="28"/>
          <w:szCs w:val="28"/>
        </w:rPr>
        <w:t>many major cities and counties impose a tax on residents without allowing a credit for taxes paid out of state (though some do allow a credit for taxes paid to another municipality), including Philadelphia, Cleveland, Detroit, Indiana’s counties, Kansas City, Missouri, St. Louis, and Wilmington.</w:t>
      </w:r>
      <w:r w:rsidR="00C0595E">
        <w:rPr>
          <w:rStyle w:val="FootnoteReference"/>
          <w:rFonts w:ascii="Times New Roman" w:hAnsi="Times New Roman"/>
          <w:sz w:val="28"/>
          <w:szCs w:val="28"/>
        </w:rPr>
        <w:footnoteReference w:id="17"/>
      </w:r>
      <w:r w:rsidR="00C0595E">
        <w:rPr>
          <w:rFonts w:ascii="Times New Roman" w:hAnsi="Times New Roman" w:cs="Times New Roman"/>
          <w:sz w:val="28"/>
          <w:szCs w:val="28"/>
        </w:rPr>
        <w:t xml:space="preserve">  </w:t>
      </w:r>
      <w:proofErr w:type="gramStart"/>
      <w:r w:rsidR="006D4E1D" w:rsidRPr="006D4E1D">
        <w:rPr>
          <w:rFonts w:ascii="Times New Roman" w:hAnsi="Times New Roman" w:cs="Times New Roman"/>
          <w:sz w:val="28"/>
          <w:szCs w:val="28"/>
        </w:rPr>
        <w:t xml:space="preserve">As Philadelphia’s income tax web site explains: “The Earnings Tax is a tax on salaries, wages, commissions and </w:t>
      </w:r>
      <w:r w:rsidR="006D4E1D" w:rsidRPr="006D4E1D">
        <w:rPr>
          <w:rFonts w:ascii="Times New Roman" w:hAnsi="Times New Roman" w:cs="Times New Roman"/>
          <w:sz w:val="28"/>
          <w:szCs w:val="28"/>
        </w:rPr>
        <w:lastRenderedPageBreak/>
        <w:t>other compensation paid to an employee who is employed or renders services to an employer.</w:t>
      </w:r>
      <w:proofErr w:type="gramEnd"/>
      <w:r w:rsidR="006D4E1D" w:rsidRPr="006D4E1D">
        <w:rPr>
          <w:rFonts w:ascii="Times New Roman" w:hAnsi="Times New Roman" w:cs="Times New Roman"/>
          <w:sz w:val="28"/>
          <w:szCs w:val="28"/>
        </w:rPr>
        <w:t xml:space="preserve">  </w:t>
      </w:r>
      <w:r w:rsidR="006D4E1D" w:rsidRPr="006D4E1D">
        <w:rPr>
          <w:rFonts w:ascii="Times New Roman" w:hAnsi="Times New Roman" w:cs="Times New Roman"/>
          <w:i/>
          <w:sz w:val="28"/>
          <w:szCs w:val="28"/>
        </w:rPr>
        <w:t>The City of Philadelphia is not a party to any reciprocal tax agreements with any other municipality. Non-residents of Pennsylvania cannot claim a tax credit against Philadelphia Earnings Tax for income taxes paid to any other state or political subdivision. Residents of Philadelphia employed outside of Pennsylvania may be required to file and pay a local income tax in that jurisdiction in addition to Philadelphia Earnings Tax</w:t>
      </w:r>
      <w:r w:rsidR="006D4E1D" w:rsidRPr="006D4E1D">
        <w:rPr>
          <w:rFonts w:ascii="Times New Roman" w:hAnsi="Times New Roman" w:cs="Times New Roman"/>
          <w:sz w:val="24"/>
          <w:szCs w:val="24"/>
        </w:rPr>
        <w:t>.”</w:t>
      </w:r>
      <w:r w:rsidR="006D4E1D">
        <w:rPr>
          <w:rFonts w:ascii="Times New Roman" w:hAnsi="Times New Roman" w:cs="Times New Roman"/>
          <w:sz w:val="24"/>
          <w:szCs w:val="24"/>
        </w:rPr>
        <w:t xml:space="preserve"> (</w:t>
      </w:r>
      <w:proofErr w:type="gramStart"/>
      <w:r w:rsidR="006D4E1D" w:rsidRPr="006D4E1D">
        <w:rPr>
          <w:rFonts w:ascii="Times New Roman" w:hAnsi="Times New Roman" w:cs="Times New Roman"/>
          <w:i/>
          <w:sz w:val="28"/>
          <w:szCs w:val="28"/>
        </w:rPr>
        <w:t>emphasis</w:t>
      </w:r>
      <w:proofErr w:type="gramEnd"/>
      <w:r w:rsidR="006D4E1D" w:rsidRPr="006D4E1D">
        <w:rPr>
          <w:rFonts w:ascii="Times New Roman" w:hAnsi="Times New Roman" w:cs="Times New Roman"/>
          <w:i/>
          <w:sz w:val="28"/>
          <w:szCs w:val="28"/>
        </w:rPr>
        <w:t xml:space="preserve"> added</w:t>
      </w:r>
      <w:r w:rsidR="006D4E1D">
        <w:rPr>
          <w:rFonts w:ascii="Times New Roman" w:hAnsi="Times New Roman" w:cs="Times New Roman"/>
          <w:sz w:val="24"/>
          <w:szCs w:val="24"/>
        </w:rPr>
        <w:t>).</w:t>
      </w:r>
      <w:r w:rsidR="006D4E1D">
        <w:rPr>
          <w:rStyle w:val="FootnoteReference"/>
          <w:rFonts w:ascii="Times New Roman" w:hAnsi="Times New Roman"/>
          <w:sz w:val="24"/>
          <w:szCs w:val="24"/>
        </w:rPr>
        <w:footnoteReference w:id="18"/>
      </w:r>
      <w:r w:rsidR="006D4E1D">
        <w:rPr>
          <w:rFonts w:ascii="Verdana" w:hAnsi="Verdana"/>
          <w:sz w:val="24"/>
          <w:szCs w:val="24"/>
        </w:rPr>
        <w:t xml:space="preserve"> </w:t>
      </w:r>
      <w:r w:rsidRPr="0034141A">
        <w:rPr>
          <w:rFonts w:ascii="Times New Roman" w:eastAsia="Arial Unicode MS" w:hAnsi="Times New Roman" w:cs="Times New Roman"/>
          <w:sz w:val="28"/>
          <w:szCs w:val="28"/>
        </w:rPr>
        <w:t xml:space="preserve">Numerous other jurisdictions, including North Carolina and Wisconsin, </w:t>
      </w:r>
      <w:r w:rsidRPr="0034141A">
        <w:rPr>
          <w:rFonts w:ascii="Times New Roman" w:eastAsia="Arial Unicode MS" w:hAnsi="Times New Roman" w:cs="Times New Roman"/>
          <w:i/>
          <w:sz w:val="28"/>
          <w:szCs w:val="28"/>
        </w:rPr>
        <w:t>expressly disallow</w:t>
      </w:r>
      <w:r w:rsidRPr="0034141A">
        <w:rPr>
          <w:rFonts w:ascii="Times New Roman" w:eastAsia="Arial Unicode MS" w:hAnsi="Times New Roman" w:cs="Times New Roman"/>
          <w:sz w:val="28"/>
          <w:szCs w:val="28"/>
        </w:rPr>
        <w:t xml:space="preserve"> credits for county, city or other local income taxes paid out of state.</w:t>
      </w:r>
      <w:r w:rsidRPr="0034141A">
        <w:rPr>
          <w:rStyle w:val="FootnoteReference"/>
          <w:rFonts w:ascii="Times New Roman" w:eastAsia="Arial Unicode MS" w:hAnsi="Times New Roman"/>
          <w:sz w:val="28"/>
          <w:szCs w:val="28"/>
        </w:rPr>
        <w:footnoteReference w:id="19"/>
      </w:r>
      <w:r w:rsidRPr="0034141A">
        <w:rPr>
          <w:rFonts w:ascii="Times New Roman" w:eastAsia="Arial Unicode MS" w:hAnsi="Times New Roman" w:cs="Times New Roman"/>
          <w:sz w:val="28"/>
          <w:szCs w:val="28"/>
        </w:rPr>
        <w:t xml:space="preserve"> And, while not directly on point, other states disallow deductions for gross receipts taxes paid </w:t>
      </w:r>
      <w:r>
        <w:rPr>
          <w:rFonts w:ascii="Times New Roman" w:eastAsia="Arial Unicode MS" w:hAnsi="Times New Roman" w:cs="Times New Roman"/>
          <w:sz w:val="28"/>
          <w:szCs w:val="28"/>
        </w:rPr>
        <w:t>out of state.</w:t>
      </w:r>
      <w:r w:rsidRPr="0034141A">
        <w:rPr>
          <w:rStyle w:val="FootnoteReference"/>
          <w:rFonts w:ascii="Times New Roman" w:eastAsia="Arial Unicode MS" w:hAnsi="Times New Roman"/>
          <w:sz w:val="28"/>
          <w:szCs w:val="28"/>
        </w:rPr>
        <w:footnoteReference w:id="20"/>
      </w:r>
      <w:r w:rsidRPr="0034141A">
        <w:rPr>
          <w:rFonts w:ascii="Times New Roman" w:eastAsia="Arial Unicode MS" w:hAnsi="Times New Roman" w:cs="Times New Roman"/>
          <w:sz w:val="28"/>
          <w:szCs w:val="28"/>
        </w:rPr>
        <w:t xml:space="preserve"> </w:t>
      </w:r>
    </w:p>
    <w:p w:rsidR="00E50015" w:rsidRDefault="00DF525F" w:rsidP="007A085D">
      <w:pPr>
        <w:spacing w:after="0" w:line="240" w:lineRule="auto"/>
        <w:jc w:val="both"/>
        <w:rPr>
          <w:rFonts w:ascii="Times New Roman" w:eastAsia="Arial Unicode MS" w:hAnsi="Times New Roman"/>
          <w:sz w:val="28"/>
          <w:szCs w:val="28"/>
        </w:rPr>
      </w:pPr>
      <w:r w:rsidRPr="004B1394">
        <w:rPr>
          <w:rFonts w:ascii="Times New Roman" w:eastAsia="Arial Unicode MS" w:hAnsi="Times New Roman"/>
          <w:sz w:val="28"/>
          <w:szCs w:val="28"/>
        </w:rPr>
        <w:tab/>
      </w:r>
      <w:r w:rsidR="00E50015">
        <w:rPr>
          <w:rFonts w:ascii="Times New Roman" w:eastAsia="Arial Unicode MS" w:hAnsi="Times New Roman"/>
          <w:sz w:val="28"/>
          <w:szCs w:val="28"/>
        </w:rPr>
        <w:t xml:space="preserve">The </w:t>
      </w:r>
      <w:r w:rsidRPr="004B1394">
        <w:rPr>
          <w:rFonts w:ascii="Times New Roman" w:eastAsia="Arial Unicode MS" w:hAnsi="Times New Roman"/>
          <w:sz w:val="28"/>
          <w:szCs w:val="28"/>
        </w:rPr>
        <w:t xml:space="preserve">implications of the </w:t>
      </w:r>
      <w:r w:rsidR="00E50015">
        <w:rPr>
          <w:rFonts w:ascii="Times New Roman" w:eastAsia="Arial Unicode MS" w:hAnsi="Times New Roman"/>
          <w:sz w:val="28"/>
          <w:szCs w:val="28"/>
        </w:rPr>
        <w:t xml:space="preserve">Maryland decision for </w:t>
      </w:r>
      <w:r w:rsidRPr="004B1394">
        <w:rPr>
          <w:rFonts w:ascii="Times New Roman" w:eastAsia="Arial Unicode MS" w:hAnsi="Times New Roman"/>
          <w:sz w:val="28"/>
          <w:szCs w:val="28"/>
        </w:rPr>
        <w:t xml:space="preserve">state and local </w:t>
      </w:r>
      <w:r w:rsidR="00E50015">
        <w:rPr>
          <w:rFonts w:ascii="Times New Roman" w:eastAsia="Arial Unicode MS" w:hAnsi="Times New Roman"/>
          <w:sz w:val="28"/>
          <w:szCs w:val="28"/>
        </w:rPr>
        <w:t xml:space="preserve">sovereignty </w:t>
      </w:r>
      <w:r w:rsidR="007A085D">
        <w:rPr>
          <w:rFonts w:ascii="Times New Roman" w:eastAsia="Arial Unicode MS" w:hAnsi="Times New Roman"/>
          <w:sz w:val="28"/>
          <w:szCs w:val="28"/>
        </w:rPr>
        <w:t xml:space="preserve">are </w:t>
      </w:r>
      <w:r w:rsidR="00E50015">
        <w:rPr>
          <w:rFonts w:ascii="Times New Roman" w:eastAsia="Arial Unicode MS" w:hAnsi="Times New Roman"/>
          <w:sz w:val="28"/>
          <w:szCs w:val="28"/>
        </w:rPr>
        <w:t>sobering</w:t>
      </w:r>
      <w:r w:rsidR="009D7802">
        <w:rPr>
          <w:rFonts w:ascii="Times New Roman" w:eastAsia="Arial Unicode MS" w:hAnsi="Times New Roman"/>
          <w:sz w:val="28"/>
          <w:szCs w:val="28"/>
        </w:rPr>
        <w:t xml:space="preserve">: </w:t>
      </w:r>
      <w:r w:rsidRPr="004B1394">
        <w:rPr>
          <w:rFonts w:ascii="Times New Roman" w:eastAsia="Arial Unicode MS" w:hAnsi="Times New Roman"/>
          <w:sz w:val="28"/>
          <w:szCs w:val="28"/>
        </w:rPr>
        <w:t>Every taxpayer of every description</w:t>
      </w:r>
      <w:r w:rsidR="00797E10" w:rsidRPr="004B1394">
        <w:rPr>
          <w:rFonts w:ascii="Times New Roman" w:eastAsia="Arial Unicode MS" w:hAnsi="Times New Roman"/>
          <w:sz w:val="28"/>
          <w:szCs w:val="28"/>
        </w:rPr>
        <w:t xml:space="preserve"> in states that do not allow full credit for out-of-state taxes paid </w:t>
      </w:r>
      <w:r w:rsidRPr="004B1394">
        <w:rPr>
          <w:rFonts w:ascii="Times New Roman" w:eastAsia="Arial Unicode MS" w:hAnsi="Times New Roman"/>
          <w:sz w:val="28"/>
          <w:szCs w:val="28"/>
        </w:rPr>
        <w:t>—</w:t>
      </w:r>
      <w:r w:rsidR="00797E10" w:rsidRPr="004B1394">
        <w:rPr>
          <w:rFonts w:ascii="Times New Roman" w:eastAsia="Arial Unicode MS" w:hAnsi="Times New Roman"/>
          <w:sz w:val="28"/>
          <w:szCs w:val="28"/>
        </w:rPr>
        <w:t xml:space="preserve">whether </w:t>
      </w:r>
      <w:r w:rsidRPr="004B1394">
        <w:rPr>
          <w:rFonts w:ascii="Times New Roman" w:eastAsia="Arial Unicode MS" w:hAnsi="Times New Roman"/>
          <w:sz w:val="28"/>
          <w:szCs w:val="28"/>
        </w:rPr>
        <w:t>individual, partnership, C-corporation</w:t>
      </w:r>
      <w:r w:rsidR="00797E10" w:rsidRPr="004B1394">
        <w:rPr>
          <w:rFonts w:ascii="Times New Roman" w:eastAsia="Arial Unicode MS" w:hAnsi="Times New Roman"/>
          <w:sz w:val="28"/>
          <w:szCs w:val="28"/>
        </w:rPr>
        <w:t xml:space="preserve">, </w:t>
      </w:r>
      <w:r w:rsidRPr="004B1394">
        <w:rPr>
          <w:rFonts w:ascii="Times New Roman" w:eastAsia="Arial Unicode MS" w:hAnsi="Times New Roman"/>
          <w:sz w:val="28"/>
          <w:szCs w:val="28"/>
        </w:rPr>
        <w:t>S-corporation</w:t>
      </w:r>
      <w:r w:rsidR="00797E10" w:rsidRPr="004B1394">
        <w:rPr>
          <w:rFonts w:ascii="Times New Roman" w:eastAsia="Arial Unicode MS" w:hAnsi="Times New Roman"/>
          <w:sz w:val="28"/>
          <w:szCs w:val="28"/>
        </w:rPr>
        <w:t xml:space="preserve"> or any other</w:t>
      </w:r>
      <w:r w:rsidRPr="004B1394">
        <w:rPr>
          <w:rFonts w:ascii="Times New Roman" w:eastAsia="Arial Unicode MS" w:hAnsi="Times New Roman"/>
          <w:sz w:val="28"/>
          <w:szCs w:val="28"/>
        </w:rPr>
        <w:t>—</w:t>
      </w:r>
      <w:r w:rsidR="00E50015">
        <w:rPr>
          <w:rFonts w:ascii="Times New Roman" w:eastAsia="Arial Unicode MS" w:hAnsi="Times New Roman"/>
          <w:sz w:val="28"/>
          <w:szCs w:val="28"/>
        </w:rPr>
        <w:t xml:space="preserve">may </w:t>
      </w:r>
      <w:r w:rsidRPr="004B1394">
        <w:rPr>
          <w:rFonts w:ascii="Times New Roman" w:eastAsia="Arial Unicode MS" w:hAnsi="Times New Roman"/>
          <w:sz w:val="28"/>
          <w:szCs w:val="28"/>
        </w:rPr>
        <w:t xml:space="preserve">be incentivized to resist paying </w:t>
      </w:r>
      <w:r w:rsidR="00E50015">
        <w:rPr>
          <w:rFonts w:ascii="Times New Roman" w:eastAsia="Arial Unicode MS" w:hAnsi="Times New Roman"/>
          <w:sz w:val="28"/>
          <w:szCs w:val="28"/>
        </w:rPr>
        <w:t xml:space="preserve">its </w:t>
      </w:r>
      <w:r w:rsidRPr="004B1394">
        <w:rPr>
          <w:rFonts w:ascii="Times New Roman" w:eastAsia="Arial Unicode MS" w:hAnsi="Times New Roman"/>
          <w:sz w:val="28"/>
          <w:szCs w:val="28"/>
        </w:rPr>
        <w:t>fair share of taxes</w:t>
      </w:r>
      <w:r w:rsidR="00E50015">
        <w:rPr>
          <w:rFonts w:ascii="Times New Roman" w:eastAsia="Arial Unicode MS" w:hAnsi="Times New Roman"/>
          <w:sz w:val="28"/>
          <w:szCs w:val="28"/>
        </w:rPr>
        <w:t>.</w:t>
      </w:r>
      <w:r w:rsidRPr="004B1394">
        <w:rPr>
          <w:rStyle w:val="FootnoteReference"/>
          <w:rFonts w:ascii="Times New Roman" w:eastAsia="Arial Unicode MS" w:hAnsi="Times New Roman"/>
          <w:sz w:val="28"/>
          <w:szCs w:val="28"/>
        </w:rPr>
        <w:footnoteReference w:id="21"/>
      </w:r>
      <w:r w:rsidRPr="004B1394">
        <w:rPr>
          <w:rFonts w:ascii="Times New Roman" w:eastAsia="Arial Unicode MS" w:hAnsi="Times New Roman"/>
          <w:sz w:val="28"/>
          <w:szCs w:val="28"/>
        </w:rPr>
        <w:t xml:space="preserve"> </w:t>
      </w:r>
      <w:r w:rsidR="004B1394">
        <w:rPr>
          <w:rFonts w:ascii="Times New Roman" w:eastAsia="Arial Unicode MS" w:hAnsi="Times New Roman"/>
          <w:sz w:val="28"/>
          <w:szCs w:val="28"/>
        </w:rPr>
        <w:t xml:space="preserve"> </w:t>
      </w:r>
      <w:r>
        <w:rPr>
          <w:rFonts w:ascii="Times New Roman" w:eastAsia="Arial Unicode MS" w:hAnsi="Times New Roman"/>
          <w:sz w:val="28"/>
          <w:szCs w:val="28"/>
        </w:rPr>
        <w:t xml:space="preserve">The </w:t>
      </w:r>
      <w:r w:rsidRPr="0034141A">
        <w:rPr>
          <w:rFonts w:ascii="Times New Roman" w:eastAsia="Arial Unicode MS" w:hAnsi="Times New Roman"/>
          <w:sz w:val="28"/>
          <w:szCs w:val="28"/>
        </w:rPr>
        <w:t xml:space="preserve">Constitution </w:t>
      </w:r>
      <w:r>
        <w:rPr>
          <w:rFonts w:ascii="Times New Roman" w:eastAsia="Arial Unicode MS" w:hAnsi="Times New Roman"/>
          <w:sz w:val="28"/>
          <w:szCs w:val="28"/>
        </w:rPr>
        <w:t xml:space="preserve">cannot be construed to instigate a taxpayer revolt in </w:t>
      </w:r>
      <w:r w:rsidRPr="0034141A">
        <w:rPr>
          <w:rFonts w:ascii="Times New Roman" w:eastAsia="Arial Unicode MS" w:hAnsi="Times New Roman"/>
          <w:sz w:val="28"/>
          <w:szCs w:val="28"/>
        </w:rPr>
        <w:t>every instance where one state does not afford a complete income tax credit for taxes paid in another jurisdiction</w:t>
      </w:r>
      <w:r>
        <w:rPr>
          <w:rFonts w:ascii="Times New Roman" w:eastAsia="Arial Unicode MS" w:hAnsi="Times New Roman"/>
          <w:sz w:val="28"/>
          <w:szCs w:val="28"/>
        </w:rPr>
        <w:t>.</w:t>
      </w:r>
      <w:r w:rsidR="00C64C07" w:rsidRPr="00C64C07">
        <w:rPr>
          <w:rStyle w:val="FootnoteReference"/>
          <w:rFonts w:ascii="Times New Roman" w:hAnsi="Times New Roman"/>
          <w:sz w:val="28"/>
          <w:szCs w:val="28"/>
        </w:rPr>
        <w:t xml:space="preserve"> </w:t>
      </w:r>
      <w:r w:rsidR="00C64C07">
        <w:rPr>
          <w:rStyle w:val="FootnoteReference"/>
          <w:rFonts w:ascii="Times New Roman" w:hAnsi="Times New Roman"/>
          <w:sz w:val="28"/>
          <w:szCs w:val="28"/>
        </w:rPr>
        <w:footnoteReference w:id="22"/>
      </w:r>
      <w:r w:rsidR="007A085D">
        <w:rPr>
          <w:rFonts w:ascii="Times New Roman" w:eastAsia="Arial Unicode MS" w:hAnsi="Times New Roman"/>
          <w:sz w:val="28"/>
          <w:szCs w:val="28"/>
        </w:rPr>
        <w:t xml:space="preserve"> </w:t>
      </w:r>
    </w:p>
    <w:p w:rsidR="007A085D" w:rsidRDefault="00E50015" w:rsidP="007A085D">
      <w:pPr>
        <w:spacing w:after="0" w:line="240" w:lineRule="auto"/>
        <w:jc w:val="both"/>
        <w:rPr>
          <w:rFonts w:ascii="Times New Roman" w:hAnsi="Times New Roman" w:cs="Times New Roman"/>
          <w:sz w:val="28"/>
          <w:szCs w:val="28"/>
        </w:rPr>
      </w:pPr>
      <w:r>
        <w:rPr>
          <w:rFonts w:ascii="Times New Roman" w:eastAsia="Arial Unicode MS" w:hAnsi="Times New Roman"/>
          <w:sz w:val="28"/>
          <w:szCs w:val="28"/>
        </w:rPr>
        <w:tab/>
      </w:r>
      <w:r w:rsidR="00430095">
        <w:rPr>
          <w:rFonts w:ascii="Times New Roman" w:hAnsi="Times New Roman" w:cs="Times New Roman"/>
          <w:sz w:val="28"/>
          <w:szCs w:val="28"/>
        </w:rPr>
        <w:t xml:space="preserve"> </w:t>
      </w:r>
      <w:r w:rsidR="00000F19">
        <w:rPr>
          <w:rFonts w:ascii="Times New Roman" w:hAnsi="Times New Roman" w:cs="Times New Roman"/>
          <w:sz w:val="28"/>
          <w:szCs w:val="28"/>
        </w:rPr>
        <w:t>IMLA respectfully submits that t</w:t>
      </w:r>
      <w:r w:rsidR="00430095">
        <w:rPr>
          <w:rFonts w:ascii="Times New Roman" w:hAnsi="Times New Roman" w:cs="Times New Roman"/>
          <w:sz w:val="28"/>
          <w:szCs w:val="28"/>
        </w:rPr>
        <w:t>he</w:t>
      </w:r>
      <w:r w:rsidR="00000F19">
        <w:rPr>
          <w:rFonts w:ascii="Times New Roman" w:hAnsi="Times New Roman" w:cs="Times New Roman"/>
          <w:sz w:val="28"/>
          <w:szCs w:val="28"/>
        </w:rPr>
        <w:t>se</w:t>
      </w:r>
      <w:r w:rsidR="00430095">
        <w:rPr>
          <w:rFonts w:ascii="Times New Roman" w:hAnsi="Times New Roman" w:cs="Times New Roman"/>
          <w:sz w:val="28"/>
          <w:szCs w:val="28"/>
        </w:rPr>
        <w:t xml:space="preserve"> issues warrant the Court’s review.  </w:t>
      </w:r>
    </w:p>
    <w:p w:rsidR="002E0361" w:rsidRDefault="002E0361" w:rsidP="00A23E0A">
      <w:pPr>
        <w:jc w:val="both"/>
        <w:rPr>
          <w:rFonts w:ascii="Times New Roman" w:hAnsi="Times New Roman" w:cs="Times New Roman"/>
          <w:sz w:val="28"/>
          <w:szCs w:val="28"/>
        </w:rPr>
      </w:pPr>
    </w:p>
    <w:p w:rsidR="00156A39" w:rsidRDefault="00156A39" w:rsidP="00A23E0A">
      <w:pPr>
        <w:jc w:val="both"/>
        <w:rPr>
          <w:rFonts w:ascii="Times New Roman" w:hAnsi="Times New Roman" w:cs="Times New Roman"/>
          <w:sz w:val="28"/>
          <w:szCs w:val="28"/>
        </w:rPr>
      </w:pPr>
    </w:p>
    <w:p w:rsidR="00156A39" w:rsidRDefault="00156A39" w:rsidP="00A23E0A">
      <w:pPr>
        <w:jc w:val="both"/>
        <w:rPr>
          <w:rFonts w:ascii="Times New Roman" w:hAnsi="Times New Roman" w:cs="Times New Roman"/>
          <w:sz w:val="28"/>
          <w:szCs w:val="28"/>
        </w:rPr>
      </w:pPr>
    </w:p>
    <w:p w:rsidR="00156A39" w:rsidRPr="0034141A" w:rsidRDefault="00156A39" w:rsidP="00A23E0A">
      <w:pPr>
        <w:jc w:val="both"/>
        <w:rPr>
          <w:rFonts w:ascii="Times New Roman" w:hAnsi="Times New Roman" w:cs="Times New Roman"/>
          <w:sz w:val="28"/>
          <w:szCs w:val="28"/>
        </w:rPr>
      </w:pPr>
    </w:p>
    <w:p w:rsidR="006C39CA" w:rsidRPr="0034141A" w:rsidRDefault="006C39CA" w:rsidP="006C39CA">
      <w:pPr>
        <w:pStyle w:val="Single"/>
        <w:spacing w:before="120" w:line="240" w:lineRule="auto"/>
        <w:ind w:firstLine="0"/>
        <w:jc w:val="center"/>
        <w:rPr>
          <w:rFonts w:ascii="Times New Roman" w:eastAsia="Arial Unicode MS" w:hAnsi="Times New Roman"/>
          <w:sz w:val="28"/>
          <w:szCs w:val="28"/>
        </w:rPr>
      </w:pPr>
      <w:r w:rsidRPr="0034141A">
        <w:rPr>
          <w:rFonts w:ascii="Times New Roman" w:eastAsia="Arial Unicode MS" w:hAnsi="Times New Roman"/>
          <w:b/>
          <w:sz w:val="28"/>
          <w:szCs w:val="28"/>
        </w:rPr>
        <w:t>CONCLUSION</w:t>
      </w:r>
    </w:p>
    <w:p w:rsidR="006C39CA" w:rsidRPr="0034141A" w:rsidRDefault="006C39CA" w:rsidP="006C39CA">
      <w:pPr>
        <w:pStyle w:val="Single"/>
        <w:spacing w:before="120" w:line="240" w:lineRule="auto"/>
        <w:rPr>
          <w:rFonts w:ascii="Times New Roman" w:eastAsia="Arial Unicode MS" w:hAnsi="Times New Roman"/>
          <w:sz w:val="28"/>
          <w:szCs w:val="28"/>
        </w:rPr>
      </w:pPr>
      <w:r w:rsidRPr="0034141A">
        <w:rPr>
          <w:rFonts w:ascii="Times New Roman" w:eastAsia="Arial Unicode MS" w:hAnsi="Times New Roman"/>
          <w:sz w:val="28"/>
          <w:szCs w:val="28"/>
        </w:rPr>
        <w:t>For the foregoing reasons, and those in the petition, the Court should issue a writ of certiorari and reverse the judgment below.</w:t>
      </w:r>
    </w:p>
    <w:p w:rsidR="006C39CA" w:rsidRPr="0034141A" w:rsidRDefault="006C39CA" w:rsidP="006C39CA">
      <w:pPr>
        <w:pStyle w:val="Single"/>
        <w:spacing w:before="240"/>
        <w:rPr>
          <w:rFonts w:ascii="Times New Roman" w:hAnsi="Times New Roman"/>
          <w:sz w:val="28"/>
          <w:szCs w:val="28"/>
        </w:rPr>
      </w:pPr>
      <w:proofErr w:type="gramStart"/>
      <w:r w:rsidRPr="0034141A">
        <w:rPr>
          <w:rFonts w:ascii="Times New Roman" w:hAnsi="Times New Roman"/>
          <w:sz w:val="28"/>
          <w:szCs w:val="28"/>
        </w:rPr>
        <w:t>Respectfully submitted.</w:t>
      </w:r>
      <w:proofErr w:type="gramEnd"/>
    </w:p>
    <w:tbl>
      <w:tblPr>
        <w:tblpPr w:leftFromText="180" w:rightFromText="180" w:vertAnchor="text" w:tblpY="1"/>
        <w:tblOverlap w:val="never"/>
        <w:tblW w:w="5940" w:type="dxa"/>
        <w:tblLayout w:type="fixed"/>
        <w:tblCellMar>
          <w:left w:w="0" w:type="dxa"/>
          <w:right w:w="0" w:type="dxa"/>
        </w:tblCellMar>
        <w:tblLook w:val="0000" w:firstRow="0" w:lastRow="0" w:firstColumn="0" w:lastColumn="0" w:noHBand="0" w:noVBand="0"/>
      </w:tblPr>
      <w:tblGrid>
        <w:gridCol w:w="2250"/>
        <w:gridCol w:w="3690"/>
      </w:tblGrid>
      <w:tr w:rsidR="006C39CA" w:rsidRPr="0034141A" w:rsidTr="006C39CA">
        <w:tc>
          <w:tcPr>
            <w:tcW w:w="2250" w:type="dxa"/>
          </w:tcPr>
          <w:p w:rsidR="006C39CA" w:rsidRPr="0034141A" w:rsidRDefault="006C39CA" w:rsidP="006C39CA">
            <w:pPr>
              <w:spacing w:line="260" w:lineRule="exact"/>
              <w:rPr>
                <w:rFonts w:ascii="Times New Roman" w:hAnsi="Times New Roman" w:cs="Times New Roman"/>
                <w:smallCaps/>
                <w:sz w:val="28"/>
                <w:szCs w:val="28"/>
              </w:rPr>
            </w:pPr>
          </w:p>
          <w:p w:rsidR="006C39CA" w:rsidRPr="0034141A" w:rsidRDefault="006C39CA" w:rsidP="006C39CA">
            <w:pPr>
              <w:keepNext/>
              <w:keepLines/>
              <w:spacing w:line="260" w:lineRule="exact"/>
              <w:rPr>
                <w:rFonts w:ascii="Times New Roman" w:hAnsi="Times New Roman" w:cs="Times New Roman"/>
                <w:sz w:val="28"/>
                <w:szCs w:val="28"/>
              </w:rPr>
            </w:pPr>
          </w:p>
        </w:tc>
        <w:tc>
          <w:tcPr>
            <w:tcW w:w="3690" w:type="dxa"/>
          </w:tcPr>
          <w:p w:rsidR="006C39CA" w:rsidRPr="0034141A" w:rsidRDefault="006C39CA" w:rsidP="006C39CA">
            <w:pPr>
              <w:spacing w:before="120" w:after="0" w:line="240" w:lineRule="exact"/>
              <w:ind w:left="90"/>
              <w:rPr>
                <w:rFonts w:ascii="Times New Roman" w:hAnsi="Times New Roman" w:cs="Times New Roman"/>
                <w:smallCaps/>
                <w:sz w:val="28"/>
                <w:szCs w:val="28"/>
              </w:rPr>
            </w:pPr>
            <w:r w:rsidRPr="0034141A">
              <w:rPr>
                <w:rFonts w:ascii="Times New Roman" w:hAnsi="Times New Roman" w:cs="Times New Roman"/>
                <w:smallCaps/>
                <w:sz w:val="28"/>
                <w:szCs w:val="28"/>
              </w:rPr>
              <w:t>Erich Eiselt</w:t>
            </w:r>
          </w:p>
          <w:p w:rsidR="006C39CA" w:rsidRPr="0034141A" w:rsidRDefault="006C39CA" w:rsidP="006C39CA">
            <w:pPr>
              <w:spacing w:after="0" w:line="260" w:lineRule="exact"/>
              <w:ind w:left="90"/>
              <w:rPr>
                <w:rFonts w:ascii="Times New Roman" w:hAnsi="Times New Roman" w:cs="Times New Roman"/>
                <w:smallCaps/>
                <w:sz w:val="28"/>
                <w:szCs w:val="28"/>
              </w:rPr>
            </w:pPr>
            <w:r w:rsidRPr="0034141A">
              <w:rPr>
                <w:rFonts w:ascii="Times New Roman" w:hAnsi="Times New Roman" w:cs="Times New Roman"/>
                <w:i/>
                <w:sz w:val="28"/>
                <w:szCs w:val="28"/>
              </w:rPr>
              <w:t xml:space="preserve">   Counsel of Record</w:t>
            </w:r>
          </w:p>
          <w:p w:rsidR="006C39CA" w:rsidRPr="0034141A" w:rsidRDefault="006C39CA" w:rsidP="006C39CA">
            <w:pPr>
              <w:spacing w:after="0" w:line="260" w:lineRule="exact"/>
              <w:ind w:left="90"/>
              <w:rPr>
                <w:rFonts w:ascii="Times New Roman" w:hAnsi="Times New Roman" w:cs="Times New Roman"/>
                <w:smallCaps/>
                <w:sz w:val="28"/>
                <w:szCs w:val="28"/>
              </w:rPr>
            </w:pPr>
            <w:r w:rsidRPr="0034141A">
              <w:rPr>
                <w:rFonts w:ascii="Times New Roman" w:hAnsi="Times New Roman" w:cs="Times New Roman"/>
                <w:smallCaps/>
                <w:sz w:val="28"/>
                <w:szCs w:val="28"/>
              </w:rPr>
              <w:t xml:space="preserve">International Municipal </w:t>
            </w:r>
          </w:p>
          <w:p w:rsidR="006C39CA" w:rsidRPr="0034141A" w:rsidRDefault="006C39CA" w:rsidP="006C39CA">
            <w:pPr>
              <w:spacing w:after="0" w:line="260" w:lineRule="exact"/>
              <w:ind w:left="270"/>
              <w:rPr>
                <w:rFonts w:ascii="Times New Roman" w:hAnsi="Times New Roman" w:cs="Times New Roman"/>
                <w:smallCaps/>
                <w:sz w:val="28"/>
                <w:szCs w:val="28"/>
              </w:rPr>
            </w:pPr>
            <w:r w:rsidRPr="0034141A">
              <w:rPr>
                <w:rFonts w:ascii="Times New Roman" w:hAnsi="Times New Roman" w:cs="Times New Roman"/>
                <w:smallCaps/>
                <w:sz w:val="28"/>
                <w:szCs w:val="28"/>
              </w:rPr>
              <w:t>Lawyers Association</w:t>
            </w:r>
          </w:p>
          <w:p w:rsidR="006C39CA" w:rsidRPr="0034141A" w:rsidRDefault="006C39CA" w:rsidP="006C39CA">
            <w:pPr>
              <w:spacing w:after="0" w:line="260" w:lineRule="exact"/>
              <w:ind w:left="90"/>
              <w:rPr>
                <w:rFonts w:ascii="Times New Roman" w:hAnsi="Times New Roman" w:cs="Times New Roman"/>
                <w:sz w:val="28"/>
                <w:szCs w:val="28"/>
              </w:rPr>
            </w:pPr>
            <w:r w:rsidRPr="0034141A">
              <w:rPr>
                <w:rFonts w:ascii="Times New Roman" w:hAnsi="Times New Roman" w:cs="Times New Roman"/>
                <w:sz w:val="28"/>
                <w:szCs w:val="28"/>
              </w:rPr>
              <w:t>7910 Woodmont Ave.</w:t>
            </w:r>
          </w:p>
          <w:p w:rsidR="006C39CA" w:rsidRPr="0034141A" w:rsidRDefault="006C39CA" w:rsidP="006C39CA">
            <w:pPr>
              <w:spacing w:after="0" w:line="260" w:lineRule="exact"/>
              <w:ind w:left="90"/>
              <w:rPr>
                <w:rFonts w:ascii="Times New Roman" w:hAnsi="Times New Roman" w:cs="Times New Roman"/>
                <w:sz w:val="28"/>
                <w:szCs w:val="28"/>
              </w:rPr>
            </w:pPr>
            <w:r w:rsidRPr="0034141A">
              <w:rPr>
                <w:rFonts w:ascii="Times New Roman" w:hAnsi="Times New Roman" w:cs="Times New Roman"/>
                <w:sz w:val="28"/>
                <w:szCs w:val="28"/>
              </w:rPr>
              <w:t>Suite 1440</w:t>
            </w:r>
          </w:p>
          <w:p w:rsidR="006C39CA" w:rsidRPr="0034141A" w:rsidRDefault="006C39CA" w:rsidP="006C39CA">
            <w:pPr>
              <w:spacing w:after="0" w:line="260" w:lineRule="exact"/>
              <w:ind w:left="90"/>
              <w:rPr>
                <w:rFonts w:ascii="Times New Roman" w:hAnsi="Times New Roman" w:cs="Times New Roman"/>
                <w:sz w:val="28"/>
                <w:szCs w:val="28"/>
              </w:rPr>
            </w:pPr>
            <w:r w:rsidRPr="0034141A">
              <w:rPr>
                <w:rFonts w:ascii="Times New Roman" w:hAnsi="Times New Roman" w:cs="Times New Roman"/>
                <w:sz w:val="28"/>
                <w:szCs w:val="28"/>
              </w:rPr>
              <w:t>Bethesda, MD 20814</w:t>
            </w:r>
          </w:p>
          <w:p w:rsidR="006C39CA" w:rsidRPr="0034141A" w:rsidRDefault="006C39CA" w:rsidP="006C39CA">
            <w:pPr>
              <w:spacing w:after="0" w:line="260" w:lineRule="exact"/>
              <w:ind w:left="90"/>
              <w:rPr>
                <w:rFonts w:ascii="Times New Roman" w:hAnsi="Times New Roman" w:cs="Times New Roman"/>
                <w:sz w:val="28"/>
                <w:szCs w:val="28"/>
              </w:rPr>
            </w:pPr>
            <w:r w:rsidRPr="0034141A">
              <w:rPr>
                <w:rFonts w:ascii="Times New Roman" w:hAnsi="Times New Roman" w:cs="Times New Roman"/>
                <w:sz w:val="28"/>
                <w:szCs w:val="28"/>
              </w:rPr>
              <w:t>(202) 466-5424</w:t>
            </w:r>
          </w:p>
          <w:p w:rsidR="006C39CA" w:rsidRPr="0034141A" w:rsidRDefault="006C39CA" w:rsidP="006C39CA">
            <w:pPr>
              <w:spacing w:after="0" w:line="260" w:lineRule="exact"/>
              <w:ind w:left="90"/>
              <w:rPr>
                <w:rFonts w:ascii="Times New Roman" w:hAnsi="Times New Roman" w:cs="Times New Roman"/>
                <w:sz w:val="28"/>
                <w:szCs w:val="28"/>
              </w:rPr>
            </w:pPr>
            <w:r w:rsidRPr="0034141A">
              <w:rPr>
                <w:rFonts w:ascii="Times New Roman" w:hAnsi="Times New Roman" w:cs="Times New Roman"/>
                <w:sz w:val="28"/>
                <w:szCs w:val="28"/>
              </w:rPr>
              <w:t>eeiselt@imla.org</w:t>
            </w:r>
          </w:p>
          <w:p w:rsidR="006C39CA" w:rsidRPr="0034141A" w:rsidRDefault="006C39CA" w:rsidP="006C39CA">
            <w:pPr>
              <w:keepNext/>
              <w:keepLines/>
              <w:spacing w:line="260" w:lineRule="exact"/>
              <w:ind w:left="90"/>
              <w:rPr>
                <w:rFonts w:ascii="Times New Roman" w:hAnsi="Times New Roman" w:cs="Times New Roman"/>
                <w:sz w:val="28"/>
                <w:szCs w:val="28"/>
              </w:rPr>
            </w:pPr>
          </w:p>
        </w:tc>
      </w:tr>
    </w:tbl>
    <w:p w:rsidR="006C39CA" w:rsidRPr="0034141A" w:rsidRDefault="006C39CA" w:rsidP="006C39CA">
      <w:pPr>
        <w:pStyle w:val="SingleBlock"/>
        <w:jc w:val="center"/>
        <w:rPr>
          <w:rFonts w:ascii="Times New Roman" w:hAnsi="Times New Roman"/>
          <w:sz w:val="28"/>
          <w:szCs w:val="28"/>
        </w:rPr>
      </w:pPr>
      <w:r w:rsidRPr="0034141A">
        <w:rPr>
          <w:rFonts w:ascii="Times New Roman" w:hAnsi="Times New Roman"/>
          <w:i/>
          <w:sz w:val="28"/>
          <w:szCs w:val="28"/>
        </w:rPr>
        <w:br w:type="textWrapping" w:clear="all"/>
        <w:t>Counsel for Amicus Curiae</w:t>
      </w:r>
    </w:p>
    <w:p w:rsidR="006C39CA" w:rsidRPr="0034141A" w:rsidRDefault="006C39CA" w:rsidP="006C39CA">
      <w:pPr>
        <w:pStyle w:val="SingleBlock"/>
        <w:jc w:val="left"/>
        <w:rPr>
          <w:rFonts w:ascii="Times New Roman" w:hAnsi="Times New Roman"/>
          <w:sz w:val="28"/>
          <w:szCs w:val="28"/>
        </w:rPr>
      </w:pPr>
      <w:r w:rsidRPr="0034141A">
        <w:rPr>
          <w:rFonts w:ascii="Times New Roman" w:hAnsi="Times New Roman"/>
          <w:sz w:val="28"/>
          <w:szCs w:val="28"/>
        </w:rPr>
        <w:t>November 18, 2013</w:t>
      </w:r>
    </w:p>
    <w:p w:rsidR="006C39CA" w:rsidRPr="0034141A" w:rsidRDefault="006C39CA" w:rsidP="00A23E0A">
      <w:pPr>
        <w:jc w:val="both"/>
        <w:rPr>
          <w:rFonts w:ascii="Times New Roman" w:hAnsi="Times New Roman" w:cs="Times New Roman"/>
          <w:sz w:val="28"/>
          <w:szCs w:val="28"/>
        </w:rPr>
      </w:pPr>
    </w:p>
    <w:sectPr w:rsidR="006C39CA" w:rsidRPr="0034141A" w:rsidSect="004E0A43">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935" w:rsidRDefault="004D7935" w:rsidP="007E1112">
      <w:pPr>
        <w:spacing w:after="0" w:line="240" w:lineRule="auto"/>
      </w:pPr>
      <w:r>
        <w:separator/>
      </w:r>
    </w:p>
  </w:endnote>
  <w:endnote w:type="continuationSeparator" w:id="0">
    <w:p w:rsidR="004D7935" w:rsidRDefault="004D7935" w:rsidP="007E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CenturySchlbk LT">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incoln">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Blackletter686 BT"/>
    <w:panose1 w:val="03040902040508030806"/>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79" w:rsidRDefault="00696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79" w:rsidRDefault="006961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79" w:rsidRDefault="006961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12" w:rsidRDefault="007E111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12" w:rsidRDefault="007E1112">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935" w:rsidRDefault="004D7935" w:rsidP="007E1112">
      <w:pPr>
        <w:spacing w:after="0" w:line="240" w:lineRule="auto"/>
      </w:pPr>
      <w:r>
        <w:separator/>
      </w:r>
    </w:p>
  </w:footnote>
  <w:footnote w:type="continuationSeparator" w:id="0">
    <w:p w:rsidR="004D7935" w:rsidRDefault="004D7935" w:rsidP="007E1112">
      <w:pPr>
        <w:spacing w:after="0" w:line="240" w:lineRule="auto"/>
      </w:pPr>
      <w:r>
        <w:continuationSeparator/>
      </w:r>
    </w:p>
  </w:footnote>
  <w:footnote w:id="1">
    <w:p w:rsidR="00BB45DB" w:rsidRDefault="00BB45DB">
      <w:pPr>
        <w:pStyle w:val="FootnoteText"/>
      </w:pPr>
      <w:r>
        <w:rPr>
          <w:rStyle w:val="FootnoteReference"/>
        </w:rPr>
        <w:footnoteRef/>
      </w:r>
      <w:r>
        <w:t xml:space="preserve"> </w:t>
      </w:r>
      <w:r w:rsidRPr="00D36EC5">
        <w:rPr>
          <w:rFonts w:ascii="Times New Roman" w:hAnsi="Times New Roman" w:cs="Times New Roman"/>
        </w:rPr>
        <w:t xml:space="preserve">No counsel for any party to these proceedings authored this brief, in whole or in part.  No entity or person, aside from </w:t>
      </w:r>
      <w:r w:rsidRPr="00D36EC5">
        <w:rPr>
          <w:rFonts w:ascii="Times New Roman" w:hAnsi="Times New Roman" w:cs="Times New Roman"/>
          <w:i/>
        </w:rPr>
        <w:t>amicus</w:t>
      </w:r>
      <w:r w:rsidR="00D36EC5">
        <w:rPr>
          <w:rFonts w:ascii="Times New Roman" w:hAnsi="Times New Roman" w:cs="Times New Roman"/>
          <w:i/>
        </w:rPr>
        <w:t xml:space="preserve"> </w:t>
      </w:r>
      <w:r w:rsidR="00D36EC5" w:rsidRPr="00D36EC5">
        <w:rPr>
          <w:rFonts w:ascii="Times New Roman" w:hAnsi="Times New Roman" w:cs="Times New Roman"/>
        </w:rPr>
        <w:t>or its members</w:t>
      </w:r>
      <w:r w:rsidR="00D36EC5">
        <w:rPr>
          <w:rFonts w:ascii="Times New Roman" w:hAnsi="Times New Roman" w:cs="Times New Roman"/>
        </w:rPr>
        <w:t>,</w:t>
      </w:r>
      <w:r w:rsidRPr="00D36EC5">
        <w:rPr>
          <w:rFonts w:ascii="Times New Roman" w:hAnsi="Times New Roman" w:cs="Times New Roman"/>
        </w:rPr>
        <w:t xml:space="preserve"> paid for or made a</w:t>
      </w:r>
      <w:r w:rsidR="00D36EC5">
        <w:rPr>
          <w:rFonts w:ascii="Times New Roman" w:hAnsi="Times New Roman" w:cs="Times New Roman"/>
        </w:rPr>
        <w:t>ny</w:t>
      </w:r>
      <w:r w:rsidRPr="00D36EC5">
        <w:rPr>
          <w:rFonts w:ascii="Times New Roman" w:hAnsi="Times New Roman" w:cs="Times New Roman"/>
        </w:rPr>
        <w:t xml:space="preserve"> monetary contribution toward the preparation or submission of this brief.  </w:t>
      </w:r>
      <w:r w:rsidR="00D36EC5" w:rsidRPr="00D36EC5">
        <w:rPr>
          <w:rFonts w:ascii="Times New Roman" w:hAnsi="Times New Roman" w:cs="Times New Roman"/>
          <w:i/>
        </w:rPr>
        <w:t>Amicus curiae</w:t>
      </w:r>
      <w:r w:rsidR="00D36EC5" w:rsidRPr="00D36EC5">
        <w:rPr>
          <w:rFonts w:ascii="Times New Roman" w:hAnsi="Times New Roman" w:cs="Times New Roman"/>
        </w:rPr>
        <w:t xml:space="preserve"> files this brief with the written consent of all parties, copies of which are on file with the Clerk’s Office.  All parties received timely notice of </w:t>
      </w:r>
      <w:r w:rsidR="00D36EC5" w:rsidRPr="00D36EC5">
        <w:rPr>
          <w:rFonts w:ascii="Times New Roman" w:hAnsi="Times New Roman" w:cs="Times New Roman"/>
          <w:i/>
        </w:rPr>
        <w:t>amicus</w:t>
      </w:r>
      <w:r w:rsidR="00D36EC5" w:rsidRPr="00D36EC5">
        <w:rPr>
          <w:rFonts w:ascii="Times New Roman" w:hAnsi="Times New Roman" w:cs="Times New Roman"/>
        </w:rPr>
        <w:t>’ intent to file this brief.</w:t>
      </w:r>
      <w:r w:rsidR="00D36EC5">
        <w:t xml:space="preserve"> </w:t>
      </w:r>
    </w:p>
  </w:footnote>
  <w:footnote w:id="2">
    <w:p w:rsidR="00A744ED" w:rsidRDefault="00A744ED">
      <w:pPr>
        <w:pStyle w:val="FootnoteText"/>
      </w:pPr>
      <w:r>
        <w:rPr>
          <w:rStyle w:val="FootnoteReference"/>
        </w:rPr>
        <w:footnoteRef/>
      </w:r>
      <w:r>
        <w:t xml:space="preserve"> </w:t>
      </w:r>
      <w:hyperlink r:id="rId1" w:history="1">
        <w:r w:rsidRPr="008E30EB">
          <w:rPr>
            <w:rStyle w:val="Hyperlink"/>
          </w:rPr>
          <w:t>http://money.cnn.com/magazines/moneymag/bplive/2010/snapshots/PL2419125.html</w:t>
        </w:r>
      </w:hyperlink>
      <w:r>
        <w:t xml:space="preserve"> </w:t>
      </w:r>
    </w:p>
  </w:footnote>
  <w:footnote w:id="3">
    <w:p w:rsidR="00144D44" w:rsidRDefault="00144D44">
      <w:pPr>
        <w:pStyle w:val="FootnoteText"/>
      </w:pPr>
      <w:r>
        <w:rPr>
          <w:rStyle w:val="FootnoteReference"/>
        </w:rPr>
        <w:footnoteRef/>
      </w:r>
      <w:r>
        <w:t xml:space="preserve"> </w:t>
      </w:r>
      <w:hyperlink r:id="rId2" w:history="1">
        <w:r w:rsidRPr="008E30EB">
          <w:rPr>
            <w:rStyle w:val="Hyperlink"/>
          </w:rPr>
          <w:t>http://en.wikipedia.org/wiki/Howard_County,_Maryland</w:t>
        </w:r>
      </w:hyperlink>
      <w:r>
        <w:t xml:space="preserve"> </w:t>
      </w:r>
    </w:p>
  </w:footnote>
  <w:footnote w:id="4">
    <w:p w:rsidR="004521B9" w:rsidRDefault="004521B9">
      <w:pPr>
        <w:pStyle w:val="FootnoteText"/>
      </w:pPr>
      <w:r>
        <w:rPr>
          <w:rStyle w:val="FootnoteReference"/>
        </w:rPr>
        <w:footnoteRef/>
      </w:r>
      <w:r>
        <w:t xml:space="preserve"> </w:t>
      </w:r>
      <w:proofErr w:type="spellStart"/>
      <w:r w:rsidRPr="007E3112">
        <w:rPr>
          <w:rFonts w:ascii="Times New Roman" w:hAnsi="Times New Roman" w:cs="Times New Roman"/>
          <w:i/>
          <w:sz w:val="24"/>
          <w:szCs w:val="24"/>
        </w:rPr>
        <w:t>Christman</w:t>
      </w:r>
      <w:proofErr w:type="spellEnd"/>
      <w:r w:rsidRPr="007E3112">
        <w:rPr>
          <w:rFonts w:ascii="Times New Roman" w:hAnsi="Times New Roman" w:cs="Times New Roman"/>
          <w:sz w:val="24"/>
          <w:szCs w:val="24"/>
        </w:rPr>
        <w:t xml:space="preserve"> was decided before </w:t>
      </w:r>
      <w:r w:rsidRPr="007E3112">
        <w:rPr>
          <w:rFonts w:ascii="Times New Roman" w:eastAsiaTheme="minorEastAsia" w:hAnsi="Times New Roman" w:cs="Times New Roman"/>
          <w:sz w:val="24"/>
          <w:szCs w:val="24"/>
        </w:rPr>
        <w:t xml:space="preserve">California recognized S corporation status, the corporation was a C corporation for California purposes, and the court regarded the income in issue as dividends. </w:t>
      </w:r>
      <w:r w:rsidRPr="007E3112">
        <w:rPr>
          <w:rFonts w:ascii="Times New Roman" w:eastAsiaTheme="minorEastAsia" w:hAnsi="Times New Roman" w:cs="Times New Roman"/>
          <w:i/>
          <w:sz w:val="24"/>
          <w:szCs w:val="24"/>
        </w:rPr>
        <w:t>Valentino v. Franchise Tax Bd.,</w:t>
      </w:r>
      <w:r w:rsidRPr="007E3112">
        <w:rPr>
          <w:rFonts w:ascii="Times New Roman" w:eastAsiaTheme="minorEastAsia" w:hAnsi="Times New Roman" w:cs="Times New Roman"/>
          <w:sz w:val="24"/>
          <w:szCs w:val="24"/>
        </w:rPr>
        <w:t xml:space="preserve"> 87 Cal. App. 4th 1284, 105 Cal. </w:t>
      </w:r>
      <w:proofErr w:type="spellStart"/>
      <w:r w:rsidRPr="007E3112">
        <w:rPr>
          <w:rFonts w:ascii="Times New Roman" w:eastAsiaTheme="minorEastAsia" w:hAnsi="Times New Roman" w:cs="Times New Roman"/>
          <w:sz w:val="24"/>
          <w:szCs w:val="24"/>
        </w:rPr>
        <w:t>Rptr</w:t>
      </w:r>
      <w:proofErr w:type="spellEnd"/>
      <w:r w:rsidRPr="007E3112">
        <w:rPr>
          <w:rFonts w:ascii="Times New Roman" w:eastAsiaTheme="minorEastAsia" w:hAnsi="Times New Roman" w:cs="Times New Roman"/>
          <w:sz w:val="24"/>
          <w:szCs w:val="24"/>
        </w:rPr>
        <w:t xml:space="preserve">. 2d 304 (4th Dist. 2001), distinguished </w:t>
      </w:r>
      <w:proofErr w:type="spellStart"/>
      <w:r w:rsidRPr="007E3112">
        <w:rPr>
          <w:rFonts w:ascii="Times New Roman" w:eastAsiaTheme="minorEastAsia" w:hAnsi="Times New Roman" w:cs="Times New Roman"/>
          <w:i/>
          <w:sz w:val="24"/>
          <w:szCs w:val="24"/>
        </w:rPr>
        <w:t>Christman</w:t>
      </w:r>
      <w:proofErr w:type="spellEnd"/>
      <w:r w:rsidRPr="007E3112">
        <w:rPr>
          <w:rFonts w:ascii="Times New Roman" w:eastAsiaTheme="minorEastAsia" w:hAnsi="Times New Roman" w:cs="Times New Roman"/>
          <w:sz w:val="24"/>
          <w:szCs w:val="24"/>
        </w:rPr>
        <w:t xml:space="preserve"> on this ground under California tax law, but the decision in </w:t>
      </w:r>
      <w:proofErr w:type="spellStart"/>
      <w:r w:rsidRPr="007E3112">
        <w:rPr>
          <w:rFonts w:ascii="Times New Roman" w:eastAsiaTheme="minorEastAsia" w:hAnsi="Times New Roman" w:cs="Times New Roman"/>
          <w:i/>
          <w:sz w:val="24"/>
          <w:szCs w:val="24"/>
        </w:rPr>
        <w:t>Christman</w:t>
      </w:r>
      <w:proofErr w:type="spellEnd"/>
      <w:r w:rsidRPr="007E3112">
        <w:rPr>
          <w:rFonts w:ascii="Times New Roman" w:eastAsiaTheme="minorEastAsia" w:hAnsi="Times New Roman" w:cs="Times New Roman"/>
          <w:i/>
          <w:sz w:val="24"/>
          <w:szCs w:val="24"/>
        </w:rPr>
        <w:t xml:space="preserve"> </w:t>
      </w:r>
      <w:r w:rsidRPr="007E3112">
        <w:rPr>
          <w:rFonts w:ascii="Times New Roman" w:eastAsiaTheme="minorEastAsia" w:hAnsi="Times New Roman" w:cs="Times New Roman"/>
          <w:sz w:val="24"/>
          <w:szCs w:val="24"/>
        </w:rPr>
        <w:t>construing the dormant Commerce Clause’s effect upon the state’s duty to grant tax credits continues in stark contrast to the decision of the Maryland Court of Appeals.</w:t>
      </w:r>
    </w:p>
  </w:footnote>
  <w:footnote w:id="5">
    <w:p w:rsidR="006F769E" w:rsidRPr="007E3112" w:rsidRDefault="006F769E">
      <w:pPr>
        <w:pStyle w:val="FootnoteText"/>
        <w:rPr>
          <w:rFonts w:ascii="Times New Roman" w:hAnsi="Times New Roman" w:cs="Times New Roman"/>
          <w:sz w:val="24"/>
          <w:szCs w:val="24"/>
        </w:rPr>
      </w:pPr>
      <w:r w:rsidRPr="007E3112">
        <w:rPr>
          <w:rStyle w:val="FootnoteReference"/>
          <w:rFonts w:ascii="Times New Roman" w:hAnsi="Times New Roman"/>
          <w:sz w:val="24"/>
          <w:szCs w:val="24"/>
        </w:rPr>
        <w:footnoteRef/>
      </w:r>
      <w:r w:rsidRPr="007E3112">
        <w:rPr>
          <w:rFonts w:ascii="Times New Roman" w:hAnsi="Times New Roman" w:cs="Times New Roman"/>
          <w:sz w:val="24"/>
          <w:szCs w:val="24"/>
        </w:rPr>
        <w:t xml:space="preserve"> The Howard County Budget for FY </w:t>
      </w:r>
      <w:proofErr w:type="gramStart"/>
      <w:r w:rsidRPr="007E3112">
        <w:rPr>
          <w:rFonts w:ascii="Times New Roman" w:hAnsi="Times New Roman" w:cs="Times New Roman"/>
          <w:sz w:val="24"/>
          <w:szCs w:val="24"/>
        </w:rPr>
        <w:t>2014  is</w:t>
      </w:r>
      <w:proofErr w:type="gramEnd"/>
      <w:r w:rsidRPr="007E3112">
        <w:rPr>
          <w:rFonts w:ascii="Times New Roman" w:hAnsi="Times New Roman" w:cs="Times New Roman"/>
          <w:sz w:val="24"/>
          <w:szCs w:val="24"/>
        </w:rPr>
        <w:t xml:space="preserve"> available through the County’s website at: http://www.howardcountymd.gov/departments.aspx?ID=499.</w:t>
      </w:r>
    </w:p>
  </w:footnote>
  <w:footnote w:id="6">
    <w:p w:rsidR="00CE54BC" w:rsidRPr="007E3112" w:rsidRDefault="00CE54BC">
      <w:pPr>
        <w:pStyle w:val="FootnoteText"/>
        <w:rPr>
          <w:rFonts w:ascii="Times New Roman" w:hAnsi="Times New Roman" w:cs="Times New Roman"/>
          <w:sz w:val="24"/>
          <w:szCs w:val="24"/>
        </w:rPr>
      </w:pPr>
      <w:r w:rsidRPr="007E3112">
        <w:rPr>
          <w:rStyle w:val="FootnoteReference"/>
          <w:rFonts w:ascii="Times New Roman" w:hAnsi="Times New Roman"/>
          <w:sz w:val="24"/>
          <w:szCs w:val="24"/>
        </w:rPr>
        <w:footnoteRef/>
      </w:r>
      <w:r w:rsidRPr="007E3112">
        <w:rPr>
          <w:rFonts w:ascii="Times New Roman" w:hAnsi="Times New Roman" w:cs="Times New Roman"/>
          <w:sz w:val="24"/>
          <w:szCs w:val="24"/>
        </w:rPr>
        <w:t xml:space="preserve"> Montgomery County Revenue Schedule for FY 14  available at: http://www.howardcountymd.gov/departments.aspx?ID=499</w:t>
      </w:r>
    </w:p>
  </w:footnote>
  <w:footnote w:id="7">
    <w:p w:rsidR="00CE54BC" w:rsidRDefault="00CE54BC">
      <w:pPr>
        <w:pStyle w:val="FootnoteText"/>
      </w:pPr>
      <w:r w:rsidRPr="007E3112">
        <w:rPr>
          <w:rStyle w:val="FootnoteReference"/>
          <w:rFonts w:ascii="Times New Roman" w:hAnsi="Times New Roman"/>
          <w:sz w:val="24"/>
          <w:szCs w:val="24"/>
        </w:rPr>
        <w:footnoteRef/>
      </w:r>
      <w:r w:rsidRPr="007E3112">
        <w:rPr>
          <w:rFonts w:ascii="Times New Roman" w:hAnsi="Times New Roman" w:cs="Times New Roman"/>
          <w:sz w:val="24"/>
          <w:szCs w:val="24"/>
        </w:rPr>
        <w:t xml:space="preserve"> Highlights of the County’s FY14 Budget are available at: http://www.montgomerycountymd.gov/OMB/Resources/Files/omb/pdfs/fy14/psp_pdf/psp_highlights.pdf</w:t>
      </w:r>
    </w:p>
  </w:footnote>
  <w:footnote w:id="8">
    <w:p w:rsidR="00CE54BC" w:rsidRPr="007E3112" w:rsidRDefault="00CE54BC">
      <w:pPr>
        <w:pStyle w:val="FootnoteText"/>
        <w:rPr>
          <w:rFonts w:ascii="Times New Roman" w:hAnsi="Times New Roman" w:cs="Times New Roman"/>
          <w:sz w:val="24"/>
          <w:szCs w:val="24"/>
        </w:rPr>
      </w:pPr>
      <w:r w:rsidRPr="007E3112">
        <w:rPr>
          <w:rStyle w:val="FootnoteReference"/>
          <w:rFonts w:ascii="Times New Roman" w:hAnsi="Times New Roman"/>
          <w:sz w:val="24"/>
          <w:szCs w:val="24"/>
        </w:rPr>
        <w:footnoteRef/>
      </w:r>
      <w:r w:rsidRPr="007E3112">
        <w:rPr>
          <w:rFonts w:ascii="Times New Roman" w:hAnsi="Times New Roman" w:cs="Times New Roman"/>
          <w:sz w:val="24"/>
          <w:szCs w:val="24"/>
        </w:rPr>
        <w:t xml:space="preserve"> Id.</w:t>
      </w:r>
    </w:p>
  </w:footnote>
  <w:footnote w:id="9">
    <w:p w:rsidR="00DF525F" w:rsidRPr="004D7DEB" w:rsidRDefault="00DF525F" w:rsidP="00DF525F">
      <w:pPr>
        <w:pStyle w:val="FootnoteText"/>
      </w:pPr>
      <w:r>
        <w:rPr>
          <w:rStyle w:val="FootnoteReference"/>
        </w:rPr>
        <w:footnoteRef/>
      </w:r>
      <w:r>
        <w:t xml:space="preserve"> </w:t>
      </w:r>
      <w:hyperlink r:id="rId3" w:history="1">
        <w:proofErr w:type="gramStart"/>
        <w:r w:rsidRPr="00C55AF1">
          <w:rPr>
            <w:rStyle w:val="Hyperlink"/>
            <w:rFonts w:ascii="Times New Roman" w:hAnsi="Times New Roman" w:cs="Times New Roman"/>
          </w:rPr>
          <w:t>http://taxfoundation.org/article/local-income-taxes-city-and-county-level-income-and-wage-taxes-continue-wane</w:t>
        </w:r>
      </w:hyperlink>
      <w:r w:rsidRPr="00C55AF1">
        <w:rPr>
          <w:rFonts w:ascii="Times New Roman" w:hAnsi="Times New Roman" w:cs="Times New Roman"/>
        </w:rPr>
        <w:t xml:space="preserve"> (last accessed November </w:t>
      </w:r>
      <w:r>
        <w:rPr>
          <w:rFonts w:ascii="Times New Roman" w:hAnsi="Times New Roman" w:cs="Times New Roman"/>
        </w:rPr>
        <w:t>10</w:t>
      </w:r>
      <w:r w:rsidRPr="00C55AF1">
        <w:rPr>
          <w:rFonts w:ascii="Times New Roman" w:hAnsi="Times New Roman" w:cs="Times New Roman"/>
        </w:rPr>
        <w:t>, 2013).</w:t>
      </w:r>
      <w:proofErr w:type="gramEnd"/>
      <w:r w:rsidRPr="00C55AF1">
        <w:rPr>
          <w:rFonts w:ascii="Times New Roman" w:hAnsi="Times New Roman" w:cs="Times New Roman"/>
        </w:rPr>
        <w:t xml:space="preserve"> </w:t>
      </w:r>
    </w:p>
  </w:footnote>
  <w:footnote w:id="10">
    <w:p w:rsidR="00DF525F" w:rsidRDefault="00DF525F" w:rsidP="00DF525F">
      <w:pPr>
        <w:pStyle w:val="FootnoteText"/>
      </w:pPr>
      <w:r>
        <w:rPr>
          <w:rStyle w:val="FootnoteReference"/>
        </w:rPr>
        <w:footnoteRef/>
      </w:r>
      <w:r w:rsidR="00CA1C31">
        <w:t xml:space="preserve"> </w:t>
      </w:r>
      <w:hyperlink r:id="rId4" w:history="1">
        <w:r w:rsidR="0090267F" w:rsidRPr="0090267F">
          <w:rPr>
            <w:rStyle w:val="Hyperlink"/>
            <w:rFonts w:ascii="Times New Roman" w:hAnsi="Times New Roman" w:cs="Times New Roman"/>
          </w:rPr>
          <w:t xml:space="preserve">  </w:t>
        </w:r>
      </w:hyperlink>
      <w:proofErr w:type="spellStart"/>
      <w:proofErr w:type="gramStart"/>
      <w:r>
        <w:rPr>
          <w:rFonts w:ascii="Times New Roman" w:hAnsi="Times New Roman" w:cs="Times New Roman"/>
        </w:rPr>
        <w:t>st</w:t>
      </w:r>
      <w:proofErr w:type="spellEnd"/>
      <w:proofErr w:type="gramEnd"/>
      <w:r>
        <w:rPr>
          <w:rFonts w:ascii="Times New Roman" w:hAnsi="Times New Roman" w:cs="Times New Roman"/>
        </w:rPr>
        <w:t xml:space="preserve"> accessed November 11, 2013).</w:t>
      </w:r>
    </w:p>
  </w:footnote>
  <w:footnote w:id="11">
    <w:p w:rsidR="00DF525F" w:rsidRDefault="00DF525F" w:rsidP="00DF525F">
      <w:pPr>
        <w:pStyle w:val="FootnoteText"/>
      </w:pPr>
      <w:r>
        <w:rPr>
          <w:rStyle w:val="FootnoteReference"/>
        </w:rPr>
        <w:footnoteRef/>
      </w:r>
      <w:r>
        <w:t xml:space="preserve"> </w:t>
      </w:r>
      <w:r w:rsidRPr="00861053">
        <w:rPr>
          <w:rFonts w:ascii="Times New Roman" w:hAnsi="Times New Roman" w:cs="Times New Roman"/>
          <w:sz w:val="24"/>
          <w:szCs w:val="24"/>
        </w:rPr>
        <w:t xml:space="preserve"> </w:t>
      </w:r>
      <w:hyperlink r:id="rId5" w:history="1">
        <w:proofErr w:type="gramStart"/>
        <w:r w:rsidRPr="00861053">
          <w:rPr>
            <w:rStyle w:val="Hyperlink"/>
            <w:rFonts w:ascii="Times New Roman" w:hAnsi="Times New Roman" w:cs="Times New Roman"/>
          </w:rPr>
          <w:t>http://www.in.gov/dor/files/dn01.pdf</w:t>
        </w:r>
      </w:hyperlink>
      <w:r w:rsidRPr="00861053">
        <w:rPr>
          <w:rFonts w:ascii="Times New Roman" w:hAnsi="Times New Roman" w:cs="Times New Roman"/>
        </w:rPr>
        <w:t xml:space="preserve"> (last accessed November 9, 2013)</w:t>
      </w:r>
      <w:r>
        <w:rPr>
          <w:rFonts w:ascii="Times New Roman" w:hAnsi="Times New Roman" w:cs="Times New Roman"/>
        </w:rPr>
        <w:t>.</w:t>
      </w:r>
      <w:proofErr w:type="gramEnd"/>
    </w:p>
  </w:footnote>
  <w:footnote w:id="12">
    <w:p w:rsidR="00DF525F" w:rsidRDefault="00DF525F" w:rsidP="00DF525F">
      <w:pPr>
        <w:pStyle w:val="FootnoteText"/>
      </w:pPr>
      <w:r>
        <w:rPr>
          <w:rStyle w:val="FootnoteReference"/>
        </w:rPr>
        <w:footnoteRef/>
      </w:r>
      <w:r>
        <w:t xml:space="preserve">  </w:t>
      </w:r>
      <w:r w:rsidRPr="001639CC">
        <w:rPr>
          <w:rFonts w:ascii="Times New Roman" w:hAnsi="Times New Roman" w:cs="Times New Roman"/>
        </w:rPr>
        <w:t xml:space="preserve">Tax Foundation, </w:t>
      </w:r>
      <w:r w:rsidRPr="001639CC">
        <w:rPr>
          <w:rFonts w:ascii="Times New Roman" w:hAnsi="Times New Roman" w:cs="Times New Roman"/>
          <w:i/>
        </w:rPr>
        <w:t>supra</w:t>
      </w:r>
      <w:r w:rsidRPr="001639CC">
        <w:rPr>
          <w:rFonts w:ascii="Times New Roman" w:hAnsi="Times New Roman" w:cs="Times New Roman"/>
        </w:rPr>
        <w:t xml:space="preserve"> note 2.</w:t>
      </w:r>
    </w:p>
  </w:footnote>
  <w:footnote w:id="13">
    <w:p w:rsidR="00DF525F" w:rsidRPr="001639CC" w:rsidRDefault="00DF525F" w:rsidP="00DF525F">
      <w:pPr>
        <w:pStyle w:val="FootnoteText"/>
        <w:rPr>
          <w:rFonts w:ascii="Times New Roman" w:hAnsi="Times New Roman" w:cs="Times New Roman"/>
        </w:rPr>
      </w:pPr>
      <w:r>
        <w:rPr>
          <w:rStyle w:val="FootnoteReference"/>
        </w:rPr>
        <w:footnoteRef/>
      </w:r>
      <w:r>
        <w:t xml:space="preserve"> </w:t>
      </w:r>
      <w:r w:rsidRPr="001639CC">
        <w:rPr>
          <w:rFonts w:ascii="Times New Roman" w:hAnsi="Times New Roman" w:cs="Times New Roman"/>
          <w:i/>
        </w:rPr>
        <w:t>Id</w:t>
      </w:r>
      <w:r w:rsidRPr="001639CC">
        <w:rPr>
          <w:rFonts w:ascii="Times New Roman" w:hAnsi="Times New Roman" w:cs="Times New Roman"/>
        </w:rPr>
        <w:t>.</w:t>
      </w:r>
    </w:p>
  </w:footnote>
  <w:footnote w:id="14">
    <w:p w:rsidR="00DF525F" w:rsidRPr="001639CC" w:rsidRDefault="00DF525F" w:rsidP="00DF525F">
      <w:pPr>
        <w:pStyle w:val="FootnoteText"/>
        <w:rPr>
          <w:rFonts w:ascii="Times New Roman" w:hAnsi="Times New Roman" w:cs="Times New Roman"/>
          <w:i/>
        </w:rPr>
      </w:pPr>
      <w:r w:rsidRPr="001639CC">
        <w:rPr>
          <w:rStyle w:val="FootnoteReference"/>
          <w:rFonts w:ascii="Times New Roman" w:hAnsi="Times New Roman"/>
        </w:rPr>
        <w:footnoteRef/>
      </w:r>
      <w:r w:rsidRPr="001639CC">
        <w:rPr>
          <w:rFonts w:ascii="Times New Roman" w:hAnsi="Times New Roman" w:cs="Times New Roman"/>
        </w:rPr>
        <w:t xml:space="preserve"> </w:t>
      </w:r>
      <w:r w:rsidRPr="001639CC">
        <w:rPr>
          <w:rFonts w:ascii="Times New Roman" w:hAnsi="Times New Roman" w:cs="Times New Roman"/>
          <w:i/>
        </w:rPr>
        <w:t>Id.</w:t>
      </w:r>
    </w:p>
  </w:footnote>
  <w:footnote w:id="15">
    <w:p w:rsidR="00DF525F" w:rsidRPr="007E3112" w:rsidRDefault="00DF525F" w:rsidP="00DF525F">
      <w:pPr>
        <w:pStyle w:val="FootnoteText"/>
        <w:rPr>
          <w:rFonts w:ascii="Times New Roman" w:hAnsi="Times New Roman" w:cs="Times New Roman"/>
          <w:sz w:val="28"/>
          <w:szCs w:val="28"/>
        </w:rPr>
      </w:pPr>
      <w:r w:rsidRPr="007E3112">
        <w:rPr>
          <w:rStyle w:val="FootnoteReference"/>
          <w:rFonts w:ascii="Times New Roman" w:hAnsi="Times New Roman"/>
          <w:sz w:val="28"/>
          <w:szCs w:val="28"/>
        </w:rPr>
        <w:footnoteRef/>
      </w:r>
      <w:r w:rsidRPr="007E3112">
        <w:rPr>
          <w:rFonts w:ascii="Times New Roman" w:hAnsi="Times New Roman" w:cs="Times New Roman"/>
          <w:sz w:val="28"/>
          <w:szCs w:val="28"/>
        </w:rPr>
        <w:t xml:space="preserve"> </w:t>
      </w:r>
      <w:r w:rsidRPr="007E3112">
        <w:rPr>
          <w:rFonts w:ascii="Times New Roman" w:hAnsi="Times New Roman" w:cs="Times New Roman"/>
          <w:i/>
          <w:sz w:val="28"/>
          <w:szCs w:val="28"/>
        </w:rPr>
        <w:t>Id.</w:t>
      </w:r>
    </w:p>
  </w:footnote>
  <w:footnote w:id="16">
    <w:p w:rsidR="00DF525F" w:rsidRPr="007E3112" w:rsidRDefault="00DF525F" w:rsidP="00DF525F">
      <w:pPr>
        <w:pStyle w:val="FootnoteText"/>
        <w:rPr>
          <w:rFonts w:ascii="Times New Roman" w:hAnsi="Times New Roman" w:cs="Times New Roman"/>
          <w:sz w:val="28"/>
          <w:szCs w:val="28"/>
        </w:rPr>
      </w:pPr>
      <w:r w:rsidRPr="007E3112">
        <w:rPr>
          <w:rStyle w:val="FootnoteReference"/>
          <w:rFonts w:ascii="Times New Roman" w:hAnsi="Times New Roman"/>
          <w:sz w:val="28"/>
          <w:szCs w:val="28"/>
        </w:rPr>
        <w:footnoteRef/>
      </w:r>
      <w:r w:rsidRPr="007E3112">
        <w:rPr>
          <w:rFonts w:ascii="Times New Roman" w:hAnsi="Times New Roman" w:cs="Times New Roman"/>
          <w:sz w:val="28"/>
          <w:szCs w:val="28"/>
        </w:rPr>
        <w:t xml:space="preserve"> Alaska, Florida, Nevada, Texas, South Dakota, Washington and Wyoming do not charge personal income taxes.</w:t>
      </w:r>
    </w:p>
  </w:footnote>
  <w:footnote w:id="17">
    <w:p w:rsidR="00C0595E" w:rsidRPr="007E3112" w:rsidRDefault="00C0595E" w:rsidP="00E556D9">
      <w:pPr>
        <w:autoSpaceDE w:val="0"/>
        <w:autoSpaceDN w:val="0"/>
        <w:adjustRightInd w:val="0"/>
        <w:spacing w:after="0" w:line="240" w:lineRule="auto"/>
        <w:rPr>
          <w:rFonts w:ascii="Times New Roman" w:hAnsi="Times New Roman" w:cs="Times New Roman"/>
          <w:sz w:val="28"/>
          <w:szCs w:val="28"/>
        </w:rPr>
      </w:pPr>
      <w:r w:rsidRPr="007E3112">
        <w:rPr>
          <w:rStyle w:val="FootnoteReference"/>
          <w:rFonts w:ascii="Times New Roman" w:hAnsi="Times New Roman"/>
          <w:sz w:val="28"/>
          <w:szCs w:val="28"/>
        </w:rPr>
        <w:footnoteRef/>
      </w:r>
      <w:r w:rsidRPr="007E3112">
        <w:rPr>
          <w:rFonts w:ascii="Times New Roman" w:hAnsi="Times New Roman" w:cs="Times New Roman"/>
          <w:sz w:val="28"/>
          <w:szCs w:val="28"/>
        </w:rPr>
        <w:t xml:space="preserve">  </w:t>
      </w:r>
      <w:r w:rsidRPr="007E3112">
        <w:rPr>
          <w:rFonts w:ascii="Times New Roman" w:hAnsi="Times New Roman" w:cs="Times New Roman"/>
          <w:i/>
          <w:sz w:val="28"/>
          <w:szCs w:val="28"/>
        </w:rPr>
        <w:t xml:space="preserve">See </w:t>
      </w:r>
      <w:hyperlink r:id="rId6" w:history="1">
        <w:r w:rsidRPr="007E3112">
          <w:rPr>
            <w:rStyle w:val="Hyperlink"/>
            <w:rFonts w:ascii="Times New Roman" w:hAnsi="Times New Roman" w:cs="Times New Roman"/>
            <w:sz w:val="28"/>
            <w:szCs w:val="28"/>
          </w:rPr>
          <w:t>http://www.ccatax.ci.cleveland.oh.us/Y2013/muniit.pdf</w:t>
        </w:r>
      </w:hyperlink>
      <w:r w:rsidRPr="007E3112">
        <w:rPr>
          <w:rFonts w:ascii="Times New Roman" w:hAnsi="Times New Roman" w:cs="Times New Roman"/>
          <w:sz w:val="28"/>
          <w:szCs w:val="28"/>
        </w:rPr>
        <w:t xml:space="preserve"> (last accessed November 11, 2013); </w:t>
      </w:r>
      <w:hyperlink r:id="rId7" w:history="1">
        <w:r w:rsidRPr="007E3112">
          <w:rPr>
            <w:rStyle w:val="Hyperlink"/>
            <w:rFonts w:ascii="Times New Roman" w:hAnsi="Times New Roman" w:cs="Times New Roman"/>
            <w:sz w:val="28"/>
            <w:szCs w:val="28"/>
          </w:rPr>
          <w:t>http://www.legislature.mi.gov/(S(mphllz55322neouolpmmk2ik))/mileg.aspx?page=getobject&amp;objectname=mcl-284-1964-2</w:t>
        </w:r>
      </w:hyperlink>
      <w:r w:rsidRPr="007E3112">
        <w:rPr>
          <w:rFonts w:ascii="Times New Roman" w:hAnsi="Times New Roman" w:cs="Times New Roman"/>
          <w:sz w:val="28"/>
          <w:szCs w:val="28"/>
        </w:rPr>
        <w:t xml:space="preserve"> (last accessed November 11, 2013); </w:t>
      </w:r>
      <w:hyperlink r:id="rId8" w:history="1">
        <w:r w:rsidRPr="007E3112">
          <w:rPr>
            <w:rStyle w:val="Hyperlink"/>
            <w:rFonts w:ascii="Times New Roman" w:hAnsi="Times New Roman" w:cs="Times New Roman"/>
            <w:sz w:val="28"/>
            <w:szCs w:val="28"/>
          </w:rPr>
          <w:t>http://www.in.gov/dor/reference/files/ib32.pdf</w:t>
        </w:r>
      </w:hyperlink>
      <w:r w:rsidRPr="007E3112">
        <w:rPr>
          <w:rFonts w:ascii="Times New Roman" w:hAnsi="Times New Roman" w:cs="Times New Roman"/>
          <w:sz w:val="28"/>
          <w:szCs w:val="28"/>
        </w:rPr>
        <w:t xml:space="preserve"> (last accessed November 11, 2013); </w:t>
      </w:r>
      <w:hyperlink r:id="rId9" w:history="1">
        <w:r w:rsidRPr="007E3112">
          <w:rPr>
            <w:rStyle w:val="Hyperlink"/>
            <w:rFonts w:ascii="Times New Roman" w:hAnsi="Times New Roman" w:cs="Times New Roman"/>
            <w:sz w:val="28"/>
            <w:szCs w:val="28"/>
          </w:rPr>
          <w:t>http://kcmo.org/idc/groups/finance/documents/finance/rd-109.pdf</w:t>
        </w:r>
      </w:hyperlink>
      <w:r w:rsidRPr="007E3112">
        <w:rPr>
          <w:rFonts w:ascii="Times New Roman" w:hAnsi="Times New Roman" w:cs="Times New Roman"/>
          <w:sz w:val="28"/>
          <w:szCs w:val="28"/>
        </w:rPr>
        <w:t xml:space="preserve">; </w:t>
      </w:r>
      <w:hyperlink r:id="rId10" w:history="1">
        <w:r w:rsidRPr="007E3112">
          <w:rPr>
            <w:rStyle w:val="Hyperlink"/>
            <w:rFonts w:ascii="Times New Roman" w:hAnsi="Times New Roman" w:cs="Times New Roman"/>
            <w:sz w:val="28"/>
            <w:szCs w:val="28"/>
          </w:rPr>
          <w:t>http://www.slpl.lib.mo.us/cco/code/data/t0522.htm</w:t>
        </w:r>
      </w:hyperlink>
      <w:r w:rsidRPr="007E3112">
        <w:rPr>
          <w:rFonts w:ascii="Times New Roman" w:hAnsi="Times New Roman" w:cs="Times New Roman"/>
          <w:sz w:val="28"/>
          <w:szCs w:val="28"/>
        </w:rPr>
        <w:t xml:space="preserve"> (last accessed November 11, 2013); </w:t>
      </w:r>
      <w:hyperlink r:id="rId11" w:history="1">
        <w:r w:rsidRPr="007E3112">
          <w:rPr>
            <w:rStyle w:val="Hyperlink"/>
            <w:rFonts w:ascii="Times New Roman" w:hAnsi="Times New Roman" w:cs="Times New Roman"/>
            <w:sz w:val="28"/>
            <w:szCs w:val="28"/>
          </w:rPr>
          <w:t>http://www.wilmingtonde.gov/government/earnedincometax</w:t>
        </w:r>
      </w:hyperlink>
      <w:r w:rsidRPr="007E3112">
        <w:rPr>
          <w:rFonts w:ascii="Times New Roman" w:hAnsi="Times New Roman" w:cs="Times New Roman"/>
          <w:sz w:val="28"/>
          <w:szCs w:val="28"/>
        </w:rPr>
        <w:t xml:space="preserve"> (last accessed November 11, 2013)</w:t>
      </w:r>
      <w:r w:rsidR="004B4B4A" w:rsidRPr="007E3112">
        <w:rPr>
          <w:rFonts w:ascii="Times New Roman" w:hAnsi="Times New Roman" w:cs="Times New Roman"/>
          <w:sz w:val="28"/>
          <w:szCs w:val="28"/>
        </w:rPr>
        <w:t xml:space="preserve">; </w:t>
      </w:r>
      <w:hyperlink r:id="rId12" w:history="1">
        <w:r w:rsidR="004B4B4A" w:rsidRPr="007E3112">
          <w:rPr>
            <w:rStyle w:val="Hyperlink"/>
            <w:rFonts w:ascii="Times New Roman" w:hAnsi="Times New Roman" w:cs="Times New Roman"/>
            <w:sz w:val="28"/>
            <w:szCs w:val="28"/>
          </w:rPr>
          <w:t>http://www.phila.gov/Revenue/businesses/taxes/Pages/WageTax.aspx</w:t>
        </w:r>
      </w:hyperlink>
      <w:r w:rsidR="004B4B4A" w:rsidRPr="007E3112">
        <w:rPr>
          <w:rFonts w:ascii="Times New Roman" w:hAnsi="Times New Roman" w:cs="Times New Roman"/>
          <w:sz w:val="28"/>
          <w:szCs w:val="28"/>
        </w:rPr>
        <w:t xml:space="preserve"> (last accessed November 11, 2013)</w:t>
      </w:r>
      <w:r w:rsidRPr="007E3112">
        <w:rPr>
          <w:rFonts w:ascii="Times New Roman" w:hAnsi="Times New Roman" w:cs="Times New Roman"/>
          <w:sz w:val="28"/>
          <w:szCs w:val="28"/>
        </w:rPr>
        <w:t>.</w:t>
      </w:r>
    </w:p>
  </w:footnote>
  <w:footnote w:id="18">
    <w:p w:rsidR="006D4E1D" w:rsidRDefault="006D4E1D">
      <w:pPr>
        <w:pStyle w:val="FootnoteText"/>
      </w:pPr>
      <w:r w:rsidRPr="007E3112">
        <w:rPr>
          <w:rStyle w:val="FootnoteReference"/>
          <w:rFonts w:ascii="Times New Roman" w:hAnsi="Times New Roman"/>
          <w:sz w:val="28"/>
          <w:szCs w:val="28"/>
        </w:rPr>
        <w:footnoteRef/>
      </w:r>
      <w:r w:rsidRPr="007E3112">
        <w:rPr>
          <w:rFonts w:ascii="Times New Roman" w:hAnsi="Times New Roman" w:cs="Times New Roman"/>
          <w:sz w:val="28"/>
          <w:szCs w:val="28"/>
        </w:rPr>
        <w:t xml:space="preserve"> </w:t>
      </w:r>
      <w:hyperlink r:id="rId13" w:history="1">
        <w:proofErr w:type="gramStart"/>
        <w:r w:rsidRPr="007E3112">
          <w:rPr>
            <w:rStyle w:val="Hyperlink"/>
            <w:rFonts w:ascii="Times New Roman" w:hAnsi="Times New Roman" w:cs="Times New Roman"/>
            <w:sz w:val="28"/>
            <w:szCs w:val="28"/>
          </w:rPr>
          <w:t>http://www.phila.gov/Revenue/individuals/taxes/Pages/EarningsTax.aspx</w:t>
        </w:r>
      </w:hyperlink>
      <w:r w:rsidRPr="007E3112">
        <w:rPr>
          <w:rFonts w:ascii="Times New Roman" w:hAnsi="Times New Roman" w:cs="Times New Roman"/>
          <w:sz w:val="28"/>
          <w:szCs w:val="28"/>
        </w:rPr>
        <w:t xml:space="preserve"> (last accessed November 11, 2103).</w:t>
      </w:r>
      <w:proofErr w:type="gramEnd"/>
    </w:p>
  </w:footnote>
  <w:footnote w:id="19">
    <w:p w:rsidR="00DF525F" w:rsidRPr="004D7DEB" w:rsidRDefault="00DF525F" w:rsidP="00DF525F">
      <w:pPr>
        <w:pStyle w:val="FootnoteText"/>
        <w:rPr>
          <w:rFonts w:ascii="Times New Roman" w:hAnsi="Times New Roman" w:cs="Times New Roman"/>
        </w:rPr>
      </w:pPr>
      <w:r w:rsidRPr="004D7DEB">
        <w:rPr>
          <w:rStyle w:val="FootnoteReference"/>
          <w:rFonts w:ascii="Times New Roman" w:hAnsi="Times New Roman"/>
        </w:rPr>
        <w:footnoteRef/>
      </w:r>
      <w:r w:rsidRPr="004D7DEB">
        <w:rPr>
          <w:rFonts w:ascii="Times New Roman" w:hAnsi="Times New Roman" w:cs="Times New Roman"/>
        </w:rPr>
        <w:t xml:space="preserve"> Wisconsin expressly disallows a credit for income taxes paid to a county in another state.  </w:t>
      </w:r>
      <w:hyperlink r:id="rId14" w:history="1">
        <w:proofErr w:type="gramStart"/>
        <w:r w:rsidRPr="004D7DEB">
          <w:rPr>
            <w:rStyle w:val="Hyperlink"/>
            <w:rFonts w:ascii="Times New Roman" w:hAnsi="Times New Roman" w:cs="Times New Roman"/>
          </w:rPr>
          <w:t>http://www.revenue.wi.gov/pubs/pb125.pdf</w:t>
        </w:r>
      </w:hyperlink>
      <w:r w:rsidRPr="004D7DEB">
        <w:rPr>
          <w:rFonts w:ascii="Times New Roman" w:hAnsi="Times New Roman" w:cs="Times New Roman"/>
          <w:u w:val="single"/>
        </w:rPr>
        <w:t xml:space="preserve"> </w:t>
      </w:r>
      <w:r w:rsidRPr="004D7DEB">
        <w:rPr>
          <w:rFonts w:ascii="Times New Roman" w:hAnsi="Times New Roman" w:cs="Times New Roman"/>
        </w:rPr>
        <w:t xml:space="preserve">  (last accessed November 9, 2013).</w:t>
      </w:r>
      <w:proofErr w:type="gramEnd"/>
      <w:r w:rsidRPr="004D7DEB">
        <w:rPr>
          <w:rFonts w:ascii="Times New Roman" w:hAnsi="Times New Roman" w:cs="Times New Roman"/>
          <w:u w:val="single"/>
        </w:rPr>
        <w:t xml:space="preserve"> </w:t>
      </w:r>
      <w:r>
        <w:rPr>
          <w:rFonts w:ascii="Times New Roman" w:hAnsi="Times New Roman" w:cs="Times New Roman"/>
          <w:u w:val="single"/>
        </w:rPr>
        <w:t>ADD NORTH CAROLINA CITE</w:t>
      </w:r>
    </w:p>
  </w:footnote>
  <w:footnote w:id="20">
    <w:p w:rsidR="00DF525F" w:rsidRDefault="00DF525F" w:rsidP="00DF525F">
      <w:pPr>
        <w:pStyle w:val="NormalWeb"/>
        <w:shd w:val="clear" w:color="auto" w:fill="FFFFFF"/>
        <w:spacing w:after="0"/>
      </w:pPr>
      <w:r w:rsidRPr="004D7DEB">
        <w:rPr>
          <w:rStyle w:val="FootnoteReference"/>
        </w:rPr>
        <w:footnoteRef/>
      </w:r>
      <w:r w:rsidRPr="004D7DEB">
        <w:t xml:space="preserve"> </w:t>
      </w:r>
      <w:r w:rsidRPr="004D7DEB">
        <w:rPr>
          <w:sz w:val="20"/>
          <w:szCs w:val="20"/>
        </w:rPr>
        <w:t>Massachusetts expressly disallows credits for gross receipts taxes:”</w:t>
      </w:r>
      <w:r w:rsidRPr="004D7DEB">
        <w:rPr>
          <w:b/>
          <w:bCs/>
          <w:sz w:val="20"/>
          <w:szCs w:val="20"/>
        </w:rPr>
        <w:t>Gross Receipts Based Taxes</w:t>
      </w:r>
      <w:proofErr w:type="gramStart"/>
      <w:r w:rsidRPr="004D7DEB">
        <w:rPr>
          <w:b/>
          <w:bCs/>
          <w:sz w:val="20"/>
          <w:szCs w:val="20"/>
        </w:rPr>
        <w:t>:</w:t>
      </w:r>
      <w:proofErr w:type="gramEnd"/>
      <w:r w:rsidRPr="004D7DEB">
        <w:rPr>
          <w:b/>
          <w:bCs/>
          <w:sz w:val="20"/>
          <w:szCs w:val="20"/>
        </w:rPr>
        <w:br/>
      </w:r>
      <w:r>
        <w:rPr>
          <w:sz w:val="20"/>
          <w:szCs w:val="20"/>
        </w:rPr>
        <w:t>“</w:t>
      </w:r>
      <w:r w:rsidRPr="004D7DEB">
        <w:rPr>
          <w:sz w:val="20"/>
          <w:szCs w:val="20"/>
        </w:rPr>
        <w:t xml:space="preserve">This credit extends only to those taxes that are imposed on net income; the credit does </w:t>
      </w:r>
      <w:r w:rsidRPr="004D7DEB">
        <w:rPr>
          <w:b/>
          <w:bCs/>
          <w:sz w:val="20"/>
          <w:szCs w:val="20"/>
        </w:rPr>
        <w:t>not</w:t>
      </w:r>
      <w:r w:rsidRPr="004D7DEB">
        <w:rPr>
          <w:sz w:val="20"/>
          <w:szCs w:val="20"/>
        </w:rPr>
        <w:t xml:space="preserve"> extend to taxes based on or derived directly from gross receipts.</w:t>
      </w:r>
      <w:r w:rsidRPr="004D7DEB">
        <w:rPr>
          <w:sz w:val="20"/>
          <w:szCs w:val="20"/>
        </w:rPr>
        <w:br/>
      </w:r>
      <w:r w:rsidRPr="004D7DEB">
        <w:rPr>
          <w:bCs/>
          <w:sz w:val="20"/>
          <w:szCs w:val="20"/>
        </w:rPr>
        <w:t>Gross receipts based taxes include:</w:t>
      </w:r>
      <w:r>
        <w:rPr>
          <w:bCs/>
          <w:sz w:val="20"/>
          <w:szCs w:val="20"/>
        </w:rPr>
        <w:t xml:space="preserve"> </w:t>
      </w:r>
      <w:r w:rsidRPr="00B274B4">
        <w:rPr>
          <w:sz w:val="20"/>
          <w:szCs w:val="20"/>
        </w:rPr>
        <w:t>GRT, Washington Gross Receipts Tax;</w:t>
      </w:r>
      <w:r>
        <w:rPr>
          <w:sz w:val="20"/>
          <w:szCs w:val="20"/>
        </w:rPr>
        <w:t xml:space="preserve"> </w:t>
      </w:r>
      <w:r w:rsidRPr="00B274B4">
        <w:rPr>
          <w:sz w:val="20"/>
          <w:szCs w:val="20"/>
        </w:rPr>
        <w:t>GMT, Texas Gross Margin Tax;</w:t>
      </w:r>
      <w:r>
        <w:rPr>
          <w:sz w:val="20"/>
          <w:szCs w:val="20"/>
        </w:rPr>
        <w:t xml:space="preserve"> </w:t>
      </w:r>
      <w:r w:rsidRPr="00B274B4">
        <w:rPr>
          <w:sz w:val="20"/>
          <w:szCs w:val="20"/>
        </w:rPr>
        <w:t>CAT, Ohio Commercial Activity tax.</w:t>
      </w:r>
      <w:r>
        <w:rPr>
          <w:sz w:val="20"/>
          <w:szCs w:val="20"/>
        </w:rPr>
        <w:t xml:space="preserve"> </w:t>
      </w:r>
      <w:r w:rsidRPr="00B274B4">
        <w:rPr>
          <w:sz w:val="20"/>
          <w:szCs w:val="20"/>
        </w:rPr>
        <w:t xml:space="preserve">Gross receipts-based taxes like the GRT, GMT and CAT are each taxes imposed for the privilege of doing business in a state. These taxes are </w:t>
      </w:r>
      <w:r w:rsidRPr="00B274B4">
        <w:rPr>
          <w:b/>
          <w:bCs/>
          <w:sz w:val="20"/>
          <w:szCs w:val="20"/>
        </w:rPr>
        <w:t>not</w:t>
      </w:r>
      <w:r w:rsidRPr="00B274B4">
        <w:rPr>
          <w:sz w:val="20"/>
          <w:szCs w:val="20"/>
        </w:rPr>
        <w:t xml:space="preserve"> based on income and are due whether a business is profitable or not. Therefore, these taxes are not in the nature of net income taxes imposed on taxpayers, either directly or by imposition on pass-through entities in which the taxpayers are members.”</w:t>
      </w:r>
      <w:r w:rsidRPr="00B274B4">
        <w:t xml:space="preserve"> </w:t>
      </w:r>
      <w:hyperlink r:id="rId15" w:anchor="Scorp" w:history="1">
        <w:r w:rsidRPr="00B274B4">
          <w:rPr>
            <w:rStyle w:val="Hyperlink"/>
            <w:sz w:val="20"/>
            <w:szCs w:val="20"/>
          </w:rPr>
          <w:t>http://www.mass.gov/dor/individuals/filing-and-payment-information/guide-to-personal-income-tax/credits/income-tax-paid-to-another-jurisdiction-credit.html#Scorp</w:t>
        </w:r>
      </w:hyperlink>
      <w:r w:rsidRPr="00B274B4">
        <w:rPr>
          <w:sz w:val="20"/>
          <w:szCs w:val="20"/>
        </w:rPr>
        <w:t xml:space="preserve"> (last accessed November  9, 2013).  The Washington State Gross Receipts Tax on services is 1.5% of receipts; it bears no relation to income.</w:t>
      </w:r>
      <w:r>
        <w:rPr>
          <w:sz w:val="20"/>
          <w:szCs w:val="20"/>
        </w:rPr>
        <w:t xml:space="preserve"> </w:t>
      </w:r>
    </w:p>
  </w:footnote>
  <w:footnote w:id="21">
    <w:p w:rsidR="00DF525F" w:rsidRDefault="00DF525F" w:rsidP="00156A39">
      <w:pPr>
        <w:pStyle w:val="FootnoteText"/>
        <w:jc w:val="both"/>
      </w:pPr>
      <w:r>
        <w:rPr>
          <w:rStyle w:val="FootnoteReference"/>
        </w:rPr>
        <w:footnoteRef/>
      </w:r>
      <w:r>
        <w:t xml:space="preserve"> </w:t>
      </w:r>
      <w:r w:rsidRPr="00C55AF1">
        <w:rPr>
          <w:rFonts w:ascii="Times New Roman" w:hAnsi="Times New Roman" w:cs="Times New Roman"/>
        </w:rPr>
        <w:t xml:space="preserve">Within weeks after the Court of Appeals’ decision, a major accounting firm began promoting in its web site that </w:t>
      </w:r>
      <w:r w:rsidR="003B6B23">
        <w:rPr>
          <w:rFonts w:ascii="Times New Roman" w:hAnsi="Times New Roman" w:cs="Times New Roman"/>
        </w:rPr>
        <w:t xml:space="preserve">all </w:t>
      </w:r>
      <w:r w:rsidRPr="00C55AF1">
        <w:rPr>
          <w:rFonts w:ascii="Times New Roman" w:hAnsi="Times New Roman" w:cs="Times New Roman"/>
        </w:rPr>
        <w:t>Maryland resident</w:t>
      </w:r>
      <w:r w:rsidR="003B6B23">
        <w:rPr>
          <w:rFonts w:ascii="Times New Roman" w:hAnsi="Times New Roman" w:cs="Times New Roman"/>
        </w:rPr>
        <w:t>s</w:t>
      </w:r>
      <w:r w:rsidRPr="00C55AF1">
        <w:rPr>
          <w:rFonts w:ascii="Times New Roman" w:hAnsi="Times New Roman" w:cs="Times New Roman"/>
        </w:rPr>
        <w:t xml:space="preserve"> (irrespective of any S-corporation affiliation) who paid any income taxes out-of-state in 2009 should file a “protective refund claim” for their 2009 Maryland income taxes and be prepared to file similar claims for subsequent years.  </w:t>
      </w:r>
      <w:hyperlink r:id="rId16" w:history="1">
        <w:proofErr w:type="gramStart"/>
        <w:r w:rsidRPr="00C55AF1">
          <w:rPr>
            <w:rStyle w:val="Hyperlink"/>
            <w:rFonts w:ascii="Times New Roman" w:hAnsi="Times New Roman" w:cs="Times New Roman"/>
          </w:rPr>
          <w:t>www.dhgllp.com/res_pubs/Protective-Refund-Claims.pdf</w:t>
        </w:r>
      </w:hyperlink>
      <w:r w:rsidRPr="00C55AF1">
        <w:rPr>
          <w:rFonts w:ascii="Times New Roman" w:hAnsi="Times New Roman" w:cs="Times New Roman"/>
        </w:rPr>
        <w:t xml:space="preserve"> (last accessed November 11, 2013).</w:t>
      </w:r>
      <w:proofErr w:type="gramEnd"/>
    </w:p>
  </w:footnote>
  <w:footnote w:id="22">
    <w:p w:rsidR="00C64C07" w:rsidRPr="00744CCD" w:rsidRDefault="00C64C07" w:rsidP="00C64C07">
      <w:pPr>
        <w:pStyle w:val="FootnoteText"/>
        <w:jc w:val="both"/>
        <w:rPr>
          <w:rFonts w:ascii="Times New Roman" w:hAnsi="Times New Roman" w:cs="Times New Roman"/>
        </w:rPr>
      </w:pPr>
      <w:r w:rsidRPr="00744CCD">
        <w:rPr>
          <w:rStyle w:val="FootnoteReference"/>
          <w:rFonts w:ascii="Times New Roman" w:hAnsi="Times New Roman"/>
        </w:rPr>
        <w:footnoteRef/>
      </w:r>
      <w:r w:rsidRPr="00744CCD">
        <w:rPr>
          <w:rFonts w:ascii="Times New Roman" w:hAnsi="Times New Roman" w:cs="Times New Roman"/>
        </w:rPr>
        <w:t xml:space="preserve"> </w:t>
      </w:r>
      <w:r w:rsidRPr="00744CCD">
        <w:rPr>
          <w:rFonts w:ascii="Times New Roman" w:hAnsi="Times New Roman" w:cs="Times New Roman"/>
        </w:rPr>
        <w:tab/>
      </w:r>
      <w:r>
        <w:rPr>
          <w:rFonts w:ascii="Times New Roman" w:hAnsi="Times New Roman" w:cs="Times New Roman"/>
        </w:rPr>
        <w:t xml:space="preserve">As with </w:t>
      </w:r>
      <w:r w:rsidRPr="00744CCD">
        <w:rPr>
          <w:rFonts w:ascii="Times New Roman" w:hAnsi="Times New Roman" w:cs="Times New Roman"/>
          <w:i/>
        </w:rPr>
        <w:t>Moorman Mfg. Co.,</w:t>
      </w:r>
      <w:r w:rsidRPr="00744CCD">
        <w:rPr>
          <w:rFonts w:ascii="Times New Roman" w:hAnsi="Times New Roman" w:cs="Times New Roman"/>
        </w:rPr>
        <w:t xml:space="preserve"> if the Maryland Court of Appeals is correct and a dollar-for-dollar credit is constitutionally required, the ramifications are far more extensive than </w:t>
      </w:r>
      <w:r>
        <w:rPr>
          <w:rFonts w:ascii="Times New Roman" w:hAnsi="Times New Roman" w:cs="Times New Roman"/>
        </w:rPr>
        <w:t xml:space="preserve">simply invalidating </w:t>
      </w:r>
      <w:r w:rsidRPr="00744CCD">
        <w:rPr>
          <w:rFonts w:ascii="Times New Roman" w:hAnsi="Times New Roman" w:cs="Times New Roman"/>
        </w:rPr>
        <w:t xml:space="preserve">Maryland’s tax regime.  Not only would all state and local tax laws that do not provide a </w:t>
      </w:r>
      <w:r>
        <w:rPr>
          <w:rFonts w:ascii="Times New Roman" w:hAnsi="Times New Roman" w:cs="Times New Roman"/>
        </w:rPr>
        <w:t>100%</w:t>
      </w:r>
      <w:r w:rsidRPr="00744CCD">
        <w:rPr>
          <w:rFonts w:ascii="Times New Roman" w:hAnsi="Times New Roman" w:cs="Times New Roman"/>
        </w:rPr>
        <w:t xml:space="preserve"> credit for taxes paid out of state be stricken, but a judicial inquiry into states’ vari</w:t>
      </w:r>
      <w:r>
        <w:rPr>
          <w:rFonts w:ascii="Times New Roman" w:hAnsi="Times New Roman" w:cs="Times New Roman"/>
        </w:rPr>
        <w:t>ous</w:t>
      </w:r>
      <w:r w:rsidRPr="00744CCD">
        <w:rPr>
          <w:rFonts w:ascii="Times New Roman" w:hAnsi="Times New Roman" w:cs="Times New Roman"/>
        </w:rPr>
        <w:t xml:space="preserve"> </w:t>
      </w:r>
      <w:r>
        <w:rPr>
          <w:rFonts w:ascii="Times New Roman" w:hAnsi="Times New Roman" w:cs="Times New Roman"/>
        </w:rPr>
        <w:t xml:space="preserve">tax codes </w:t>
      </w:r>
      <w:r w:rsidRPr="00744CCD">
        <w:rPr>
          <w:rFonts w:ascii="Times New Roman" w:hAnsi="Times New Roman" w:cs="Times New Roman"/>
        </w:rPr>
        <w:t xml:space="preserve">would </w:t>
      </w:r>
      <w:r>
        <w:rPr>
          <w:rFonts w:ascii="Times New Roman" w:hAnsi="Times New Roman" w:cs="Times New Roman"/>
        </w:rPr>
        <w:t>logically ensue.</w:t>
      </w:r>
      <w:r w:rsidRPr="00744CCD">
        <w:rPr>
          <w:rFonts w:ascii="Times New Roman" w:hAnsi="Times New Roman" w:cs="Times New Roman"/>
        </w:rPr>
        <w:t xml:space="preserve">  </w:t>
      </w:r>
      <w:r w:rsidRPr="003D7613">
        <w:rPr>
          <w:rFonts w:ascii="Times New Roman" w:hAnsi="Times New Roman" w:cs="Times New Roman"/>
          <w:i/>
        </w:rPr>
        <w:t>See</w:t>
      </w:r>
      <w:r w:rsidRPr="00744CCD">
        <w:rPr>
          <w:rFonts w:ascii="Times New Roman" w:hAnsi="Times New Roman" w:cs="Times New Roman"/>
          <w:i/>
        </w:rPr>
        <w:t xml:space="preserve"> Moorman Mfg. Co.,</w:t>
      </w:r>
      <w:r w:rsidRPr="00744CCD">
        <w:rPr>
          <w:rFonts w:ascii="Times New Roman" w:hAnsi="Times New Roman" w:cs="Times New Roman"/>
        </w:rPr>
        <w:t xml:space="preserve"> 437 U.S. at 278-79.  For example, as this Court explained, “</w:t>
      </w:r>
      <w:r w:rsidRPr="00744CCD">
        <w:rPr>
          <w:rFonts w:ascii="Times New Roman" w:hAnsi="Times New Roman" w:cs="Times New Roman"/>
          <w:color w:val="333333"/>
        </w:rPr>
        <w:t xml:space="preserve">there is diversity </w:t>
      </w:r>
      <w:r>
        <w:rPr>
          <w:rFonts w:ascii="Times New Roman" w:hAnsi="Times New Roman" w:cs="Times New Roman"/>
          <w:color w:val="333333"/>
        </w:rPr>
        <w:t xml:space="preserve">[among states] </w:t>
      </w:r>
      <w:r w:rsidRPr="00744CCD">
        <w:rPr>
          <w:rFonts w:ascii="Times New Roman" w:hAnsi="Times New Roman" w:cs="Times New Roman"/>
          <w:color w:val="333333"/>
        </w:rPr>
        <w:t>in the definition of nonbusiness income and in the designation of the locations to which it is deemed attributable. The potential for attribution of the same income to more than one State is plain</w:t>
      </w:r>
      <w:r>
        <w:rPr>
          <w:rFonts w:ascii="Times New Roman" w:hAnsi="Times New Roman" w:cs="Times New Roman"/>
          <w:color w:val="333333"/>
        </w:rPr>
        <w:t xml:space="preserve">.”  </w:t>
      </w:r>
      <w:proofErr w:type="gramStart"/>
      <w:r>
        <w:rPr>
          <w:rFonts w:ascii="Times New Roman" w:hAnsi="Times New Roman" w:cs="Times New Roman"/>
          <w:i/>
          <w:color w:val="333333"/>
        </w:rPr>
        <w:t>Id.</w:t>
      </w:r>
      <w:r>
        <w:rPr>
          <w:rFonts w:ascii="Times New Roman" w:hAnsi="Times New Roman" w:cs="Times New Roman"/>
          <w:color w:val="333333"/>
        </w:rPr>
        <w:t xml:space="preserve"> at 279.</w:t>
      </w:r>
      <w:proofErr w:type="gramEnd"/>
      <w:r>
        <w:rPr>
          <w:rFonts w:ascii="Times New Roman" w:hAnsi="Times New Roman" w:cs="Times New Roman"/>
          <w:color w:val="333333"/>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79" w:rsidRDefault="00696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12" w:rsidRPr="00C36400" w:rsidRDefault="00F84996">
    <w:pPr>
      <w:pStyle w:val="c"/>
      <w:spacing w:before="360"/>
      <w:rPr>
        <w:rFonts w:ascii="NewCenturySchlbk LT" w:hAnsi="NewCenturySchlbk LT"/>
      </w:rPr>
    </w:pPr>
    <w:r w:rsidRPr="00C36400">
      <w:rPr>
        <w:rFonts w:ascii="NewCenturySchlbk LT" w:hAnsi="NewCenturySchlbk LT"/>
      </w:rPr>
      <w:fldChar w:fldCharType="begin"/>
    </w:r>
    <w:r w:rsidR="007E1112" w:rsidRPr="00C36400">
      <w:rPr>
        <w:rFonts w:ascii="NewCenturySchlbk LT" w:hAnsi="NewCenturySchlbk LT"/>
      </w:rPr>
      <w:instrText xml:space="preserve">page </w:instrText>
    </w:r>
    <w:r w:rsidRPr="00C36400">
      <w:rPr>
        <w:rFonts w:ascii="NewCenturySchlbk LT" w:hAnsi="NewCenturySchlbk LT"/>
      </w:rPr>
      <w:fldChar w:fldCharType="separate"/>
    </w:r>
    <w:r w:rsidR="00737BC4">
      <w:rPr>
        <w:rFonts w:ascii="NewCenturySchlbk LT" w:hAnsi="NewCenturySchlbk LT"/>
        <w:noProof/>
      </w:rPr>
      <w:t>2</w:t>
    </w:r>
    <w:r w:rsidRPr="00C36400">
      <w:rPr>
        <w:rFonts w:ascii="NewCenturySchlbk LT" w:hAnsi="NewCenturySchlbk 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12" w:rsidRPr="00D92AFC" w:rsidRDefault="007E1112" w:rsidP="00D92AFC">
    <w:pPr>
      <w:spacing w:after="60"/>
      <w:jc w:val="center"/>
      <w:rPr>
        <w:vanish/>
        <w:color w:val="FF00F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12" w:rsidRPr="00B95560" w:rsidRDefault="00F84996">
    <w:pPr>
      <w:pStyle w:val="c"/>
      <w:keepLines w:val="0"/>
      <w:spacing w:before="480" w:line="200" w:lineRule="exact"/>
      <w:rPr>
        <w:rStyle w:val="PageNumber"/>
        <w:sz w:val="24"/>
      </w:rPr>
    </w:pPr>
    <w:r w:rsidRPr="00B95560">
      <w:rPr>
        <w:rStyle w:val="PageNumber"/>
        <w:sz w:val="24"/>
      </w:rPr>
      <w:fldChar w:fldCharType="begin"/>
    </w:r>
    <w:r w:rsidR="007E1112" w:rsidRPr="00B95560">
      <w:rPr>
        <w:rStyle w:val="PageNumber"/>
        <w:sz w:val="24"/>
      </w:rPr>
      <w:instrText xml:space="preserve"> PAGE </w:instrText>
    </w:r>
    <w:r w:rsidRPr="00B95560">
      <w:rPr>
        <w:rStyle w:val="PageNumber"/>
        <w:sz w:val="24"/>
      </w:rPr>
      <w:fldChar w:fldCharType="separate"/>
    </w:r>
    <w:r w:rsidR="00644A07">
      <w:rPr>
        <w:rStyle w:val="PageNumber"/>
        <w:noProof/>
        <w:sz w:val="24"/>
      </w:rPr>
      <w:t>ii</w:t>
    </w:r>
    <w:r w:rsidRPr="00B95560">
      <w:rPr>
        <w:rStyle w:val="PageNumber"/>
        <w:sz w:val="24"/>
      </w:rPr>
      <w:fldChar w:fldCharType="end"/>
    </w:r>
  </w:p>
  <w:p w:rsidR="007E1112" w:rsidRDefault="007E1112">
    <w:pPr>
      <w:pStyle w:val="c"/>
      <w:keepLines w:val="0"/>
      <w:spacing w:line="240" w:lineRule="auto"/>
      <w:jc w:val="right"/>
      <w:rPr>
        <w:rStyle w:val="PageNumber"/>
        <w:rFonts w:ascii="Times New Roman" w:hAnsi="Times New Roman"/>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12" w:rsidRDefault="00F84996">
    <w:pPr>
      <w:pStyle w:val="Header"/>
      <w:spacing w:before="480" w:line="200" w:lineRule="exact"/>
      <w:jc w:val="center"/>
    </w:pPr>
    <w:r>
      <w:rPr>
        <w:rStyle w:val="PageNumber"/>
      </w:rPr>
      <w:fldChar w:fldCharType="begin"/>
    </w:r>
    <w:r w:rsidR="007E1112">
      <w:rPr>
        <w:rStyle w:val="PageNumber"/>
      </w:rPr>
      <w:instrText xml:space="preserve"> PAGE </w:instrText>
    </w:r>
    <w:r>
      <w:rPr>
        <w:rStyle w:val="PageNumber"/>
      </w:rPr>
      <w:fldChar w:fldCharType="separate"/>
    </w:r>
    <w:r w:rsidR="00644A07">
      <w:rPr>
        <w:rStyle w:val="PageNumber"/>
        <w:noProof/>
      </w:rPr>
      <w:t>i</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12" w:rsidRPr="00276446" w:rsidRDefault="007E1112">
    <w:pPr>
      <w:pStyle w:val="c"/>
      <w:keepLines w:val="0"/>
      <w:spacing w:before="480" w:line="200" w:lineRule="exact"/>
      <w:rPr>
        <w:rStyle w:val="PageNumbe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773"/>
    <w:multiLevelType w:val="multilevel"/>
    <w:tmpl w:val="0CE2AC04"/>
    <w:name w:val="Indent"/>
    <w:lvl w:ilvl="0">
      <w:start w:val="1"/>
      <w:numFmt w:val="none"/>
      <w:pStyle w:val="Heading1"/>
      <w:suff w:val="nothing"/>
      <w:lvlText w:val=""/>
      <w:lvlJc w:val="left"/>
      <w:rPr>
        <w:rFonts w:cs="Times New Roman" w:hint="default"/>
        <w:b w:val="0"/>
        <w:i w:val="0"/>
        <w:caps w:val="0"/>
        <w:vanish w:val="0"/>
        <w:color w:val="010000"/>
        <w:u w:val="none"/>
      </w:rPr>
    </w:lvl>
    <w:lvl w:ilvl="1">
      <w:start w:val="1"/>
      <w:numFmt w:val="upperRoman"/>
      <w:pStyle w:val="Heading2"/>
      <w:suff w:val="nothing"/>
      <w:lvlText w:val="%2."/>
      <w:lvlJc w:val="left"/>
      <w:rPr>
        <w:rFonts w:cs="Times New Roman" w:hint="default"/>
        <w:b/>
        <w:i w:val="0"/>
        <w:caps w:val="0"/>
        <w:vanish w:val="0"/>
        <w:color w:val="010000"/>
        <w:u w:val="none"/>
      </w:rPr>
    </w:lvl>
    <w:lvl w:ilvl="2">
      <w:start w:val="1"/>
      <w:numFmt w:val="upperLetter"/>
      <w:pStyle w:val="Heading3"/>
      <w:suff w:val="nothing"/>
      <w:lvlText w:val="%3."/>
      <w:lvlJc w:val="left"/>
      <w:pPr>
        <w:ind w:left="720"/>
      </w:pPr>
      <w:rPr>
        <w:rFonts w:cs="Times New Roman" w:hint="default"/>
        <w:b/>
        <w:caps w:val="0"/>
        <w:vanish w:val="0"/>
        <w:color w:val="010000"/>
        <w:u w:val="none"/>
      </w:rPr>
    </w:lvl>
    <w:lvl w:ilvl="3">
      <w:start w:val="1"/>
      <w:numFmt w:val="none"/>
      <w:pStyle w:val="Heading4"/>
      <w:suff w:val="nothing"/>
      <w:lvlText w:val=""/>
      <w:lvlJc w:val="left"/>
      <w:pPr>
        <w:ind w:left="1440"/>
      </w:pPr>
      <w:rPr>
        <w:rFonts w:cs="Times New Roman" w:hint="default"/>
        <w:b w:val="0"/>
        <w:i w:val="0"/>
        <w:caps w:val="0"/>
        <w:vanish w:val="0"/>
        <w:color w:val="010000"/>
        <w:u w:val="none"/>
      </w:rPr>
    </w:lvl>
    <w:lvl w:ilvl="4">
      <w:start w:val="1"/>
      <w:numFmt w:val="none"/>
      <w:pStyle w:val="Heading5"/>
      <w:suff w:val="nothing"/>
      <w:lvlText w:val=""/>
      <w:lvlJc w:val="left"/>
      <w:pPr>
        <w:ind w:left="2160"/>
      </w:pPr>
      <w:rPr>
        <w:rFonts w:cs="Times New Roman" w:hint="default"/>
        <w:b w:val="0"/>
        <w:i w:val="0"/>
        <w:caps w:val="0"/>
        <w:vanish w:val="0"/>
        <w:color w:val="010000"/>
        <w:u w:val="none"/>
      </w:rPr>
    </w:lvl>
    <w:lvl w:ilvl="5">
      <w:start w:val="1"/>
      <w:numFmt w:val="none"/>
      <w:pStyle w:val="Heading6"/>
      <w:suff w:val="nothing"/>
      <w:lvlText w:val=""/>
      <w:lvlJc w:val="left"/>
      <w:pPr>
        <w:ind w:left="2160"/>
      </w:pPr>
      <w:rPr>
        <w:rFonts w:cs="Times New Roman" w:hint="default"/>
        <w:b w:val="0"/>
        <w:i w:val="0"/>
        <w:caps w:val="0"/>
        <w:vanish w:val="0"/>
        <w:color w:val="010000"/>
        <w:u w:val="none"/>
      </w:rPr>
    </w:lvl>
    <w:lvl w:ilvl="6">
      <w:start w:val="1"/>
      <w:numFmt w:val="none"/>
      <w:pStyle w:val="Heading7"/>
      <w:suff w:val="nothing"/>
      <w:lvlText w:val=""/>
      <w:lvlJc w:val="left"/>
      <w:pPr>
        <w:ind w:left="2160"/>
      </w:pPr>
      <w:rPr>
        <w:rFonts w:cs="Times New Roman" w:hint="default"/>
        <w:b w:val="0"/>
        <w:i w:val="0"/>
        <w:caps w:val="0"/>
        <w:vanish w:val="0"/>
        <w:color w:val="010000"/>
        <w:u w:val="none"/>
      </w:rPr>
    </w:lvl>
    <w:lvl w:ilvl="7">
      <w:start w:val="1"/>
      <w:numFmt w:val="none"/>
      <w:pStyle w:val="Heading8"/>
      <w:suff w:val="nothing"/>
      <w:lvlText w:val=""/>
      <w:lvlJc w:val="left"/>
      <w:pPr>
        <w:ind w:left="2160"/>
      </w:pPr>
      <w:rPr>
        <w:rFonts w:cs="Times New Roman" w:hint="default"/>
        <w:b w:val="0"/>
        <w:i w:val="0"/>
        <w:caps w:val="0"/>
        <w:vanish w:val="0"/>
        <w:color w:val="010000"/>
        <w:u w:val="none"/>
      </w:rPr>
    </w:lvl>
    <w:lvl w:ilvl="8">
      <w:start w:val="1"/>
      <w:numFmt w:val="none"/>
      <w:pStyle w:val="Heading9"/>
      <w:suff w:val="nothing"/>
      <w:lvlText w:val=""/>
      <w:lvlJc w:val="left"/>
      <w:pPr>
        <w:ind w:left="2160"/>
      </w:pPr>
      <w:rPr>
        <w:rFonts w:cs="Times New Roman" w:hint="default"/>
        <w:b w:val="0"/>
        <w:i w:val="0"/>
        <w:caps w:val="0"/>
        <w:vanish w:val="0"/>
        <w:color w:val="010000"/>
        <w:u w:val="none"/>
      </w:rPr>
    </w:lvl>
  </w:abstractNum>
  <w:abstractNum w:abstractNumId="1">
    <w:nsid w:val="22F42B91"/>
    <w:multiLevelType w:val="hybridMultilevel"/>
    <w:tmpl w:val="4AA2A04E"/>
    <w:lvl w:ilvl="0" w:tplc="3F8893D6">
      <w:start w:val="1"/>
      <w:numFmt w:val="upperRoman"/>
      <w:lvlText w:val="%1."/>
      <w:lvlJc w:val="left"/>
      <w:pPr>
        <w:ind w:left="1080" w:hanging="720"/>
      </w:pPr>
      <w:rPr>
        <w:rFonts w:cs="Times New Roman" w:hint="default"/>
        <w:b/>
      </w:rPr>
    </w:lvl>
    <w:lvl w:ilvl="1" w:tplc="04090015">
      <w:start w:val="1"/>
      <w:numFmt w:val="upp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3D915BA"/>
    <w:multiLevelType w:val="hybridMultilevel"/>
    <w:tmpl w:val="75500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F45104"/>
    <w:multiLevelType w:val="hybridMultilevel"/>
    <w:tmpl w:val="A582DEBC"/>
    <w:lvl w:ilvl="0" w:tplc="26CCE098">
      <w:start w:val="2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0E71A5"/>
    <w:multiLevelType w:val="hybridMultilevel"/>
    <w:tmpl w:val="29529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BA3F8A"/>
    <w:multiLevelType w:val="hybridMultilevel"/>
    <w:tmpl w:val="C922B1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981CCF"/>
    <w:multiLevelType w:val="multilevel"/>
    <w:tmpl w:val="070CAABC"/>
    <w:lvl w:ilvl="0">
      <w:start w:val="1"/>
      <w:numFmt w:val="upperRoman"/>
      <w:suff w:val="nothing"/>
      <w:lvlText w:val="%1."/>
      <w:lvlJc w:val="left"/>
      <w:pPr>
        <w:ind w:left="720"/>
      </w:pPr>
      <w:rPr>
        <w:rFonts w:cs="Times New Roman" w:hint="default"/>
      </w:rPr>
    </w:lvl>
    <w:lvl w:ilvl="1">
      <w:start w:val="1"/>
      <w:numFmt w:val="upperLetter"/>
      <w:lvlText w:val="%2."/>
      <w:lvlJc w:val="left"/>
      <w:pPr>
        <w:tabs>
          <w:tab w:val="num" w:pos="720"/>
        </w:tabs>
        <w:ind w:left="720" w:hanging="720"/>
      </w:pPr>
      <w:rPr>
        <w:rFonts w:cs="Times New Roman" w:hint="default"/>
      </w:rPr>
    </w:lvl>
    <w:lvl w:ilvl="2">
      <w:start w:val="1"/>
      <w:numFmt w:val="decimal"/>
      <w:lvlText w:val="%3."/>
      <w:lvlJc w:val="left"/>
      <w:pPr>
        <w:tabs>
          <w:tab w:val="num" w:pos="1440"/>
        </w:tabs>
        <w:ind w:left="1440" w:hanging="720"/>
      </w:pPr>
      <w:rPr>
        <w:rFonts w:cs="Times New Roman" w:hint="default"/>
      </w:rPr>
    </w:lvl>
    <w:lvl w:ilvl="3">
      <w:start w:val="1"/>
      <w:numFmt w:val="lowerLetter"/>
      <w:lvlText w:val="%4."/>
      <w:lvlJc w:val="left"/>
      <w:pPr>
        <w:tabs>
          <w:tab w:val="num" w:pos="2160"/>
        </w:tabs>
        <w:ind w:left="2160" w:hanging="720"/>
      </w:pPr>
      <w:rPr>
        <w:rFonts w:cs="Times New Roman" w:hint="default"/>
      </w:rPr>
    </w:lvl>
    <w:lvl w:ilvl="4">
      <w:start w:val="1"/>
      <w:numFmt w:val="lowerRoman"/>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7">
    <w:nsid w:val="752A2102"/>
    <w:multiLevelType w:val="multilevel"/>
    <w:tmpl w:val="E8B0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8D4F07"/>
    <w:multiLevelType w:val="hybridMultilevel"/>
    <w:tmpl w:val="9D44C810"/>
    <w:lvl w:ilvl="0" w:tplc="226E362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lvlOverride w:ilvl="0">
      <w:lvl w:ilvl="0">
        <w:start w:val="1"/>
        <w:numFmt w:val="none"/>
        <w:suff w:val="nothing"/>
        <w:lvlText w:val=""/>
        <w:lvlJc w:val="center"/>
        <w:rPr>
          <w:rFonts w:cs="Times New Roman" w:hint="default"/>
        </w:rPr>
      </w:lvl>
    </w:lvlOverride>
    <w:lvlOverride w:ilvl="1">
      <w:lvl w:ilvl="1">
        <w:start w:val="1"/>
        <w:numFmt w:val="upperRoman"/>
        <w:lvlText w:val="%2."/>
        <w:lvlJc w:val="left"/>
        <w:pPr>
          <w:tabs>
            <w:tab w:val="num" w:pos="1152"/>
          </w:tabs>
          <w:ind w:left="1152" w:hanging="720"/>
        </w:pPr>
        <w:rPr>
          <w:rFonts w:cs="Times New Roman" w:hint="default"/>
        </w:rPr>
      </w:lvl>
    </w:lvlOverride>
    <w:lvlOverride w:ilvl="2">
      <w:lvl w:ilvl="2">
        <w:start w:val="1"/>
        <w:numFmt w:val="upperLetter"/>
        <w:lvlText w:val="%3."/>
        <w:lvlJc w:val="left"/>
        <w:pPr>
          <w:tabs>
            <w:tab w:val="num" w:pos="1872"/>
          </w:tabs>
          <w:ind w:left="1872" w:hanging="720"/>
        </w:pPr>
        <w:rPr>
          <w:rFonts w:cs="Times New Roman" w:hint="default"/>
        </w:rPr>
      </w:lvl>
    </w:lvlOverride>
    <w:lvlOverride w:ilvl="3">
      <w:lvl w:ilvl="3">
        <w:start w:val="1"/>
        <w:numFmt w:val="lowerLetter"/>
        <w:lvlText w:val="%4)"/>
        <w:lvlJc w:val="left"/>
        <w:pPr>
          <w:tabs>
            <w:tab w:val="num" w:pos="2592"/>
          </w:tabs>
          <w:ind w:left="2592" w:hanging="720"/>
        </w:pPr>
        <w:rPr>
          <w:rFonts w:cs="Times New Roman" w:hint="default"/>
        </w:rPr>
      </w:lvl>
    </w:lvlOverride>
    <w:lvlOverride w:ilvl="4">
      <w:lvl w:ilvl="4">
        <w:start w:val="1"/>
        <w:numFmt w:val="lowerLetter"/>
        <w:lvlText w:val="(%5)"/>
        <w:lvlJc w:val="left"/>
        <w:pPr>
          <w:tabs>
            <w:tab w:val="num" w:pos="2232"/>
          </w:tabs>
          <w:ind w:left="2232" w:hanging="360"/>
        </w:pPr>
        <w:rPr>
          <w:rFonts w:cs="Times New Roman" w:hint="default"/>
        </w:rPr>
      </w:lvl>
    </w:lvlOverride>
    <w:lvlOverride w:ilvl="5">
      <w:lvl w:ilvl="5">
        <w:start w:val="1"/>
        <w:numFmt w:val="lowerRoman"/>
        <w:lvlText w:val="(%6)"/>
        <w:lvlJc w:val="left"/>
        <w:pPr>
          <w:tabs>
            <w:tab w:val="num" w:pos="2592"/>
          </w:tabs>
          <w:ind w:left="2592" w:hanging="360"/>
        </w:pPr>
        <w:rPr>
          <w:rFonts w:cs="Times New Roman" w:hint="default"/>
        </w:rPr>
      </w:lvl>
    </w:lvlOverride>
    <w:lvlOverride w:ilvl="6">
      <w:lvl w:ilvl="6">
        <w:start w:val="1"/>
        <w:numFmt w:val="decimal"/>
        <w:lvlText w:val="%7."/>
        <w:lvlJc w:val="left"/>
        <w:pPr>
          <w:tabs>
            <w:tab w:val="num" w:pos="2952"/>
          </w:tabs>
          <w:ind w:left="2952" w:hanging="360"/>
        </w:pPr>
        <w:rPr>
          <w:rFonts w:cs="Times New Roman" w:hint="default"/>
        </w:rPr>
      </w:lvl>
    </w:lvlOverride>
    <w:lvlOverride w:ilvl="7">
      <w:lvl w:ilvl="7">
        <w:start w:val="1"/>
        <w:numFmt w:val="lowerLetter"/>
        <w:lvlText w:val="%8."/>
        <w:lvlJc w:val="left"/>
        <w:pPr>
          <w:tabs>
            <w:tab w:val="num" w:pos="3312"/>
          </w:tabs>
          <w:ind w:left="3312" w:hanging="360"/>
        </w:pPr>
        <w:rPr>
          <w:rFonts w:cs="Times New Roman" w:hint="default"/>
        </w:rPr>
      </w:lvl>
    </w:lvlOverride>
    <w:lvlOverride w:ilvl="8">
      <w:lvl w:ilvl="8">
        <w:start w:val="1"/>
        <w:numFmt w:val="lowerRoman"/>
        <w:lvlText w:val="%9."/>
        <w:lvlJc w:val="left"/>
        <w:pPr>
          <w:tabs>
            <w:tab w:val="num" w:pos="3672"/>
          </w:tabs>
          <w:ind w:left="3672" w:hanging="360"/>
        </w:pPr>
        <w:rPr>
          <w:rFonts w:cs="Times New Roman" w:hint="default"/>
        </w:rPr>
      </w:lvl>
    </w:lvlOverride>
  </w:num>
  <w:num w:numId="3">
    <w:abstractNumId w:val="0"/>
  </w:num>
  <w:num w:numId="4">
    <w:abstractNumId w:val="1"/>
  </w:num>
  <w:num w:numId="5">
    <w:abstractNumId w:val="7"/>
  </w:num>
  <w:num w:numId="6">
    <w:abstractNumId w:val="2"/>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04"/>
    <w:rsid w:val="00000F19"/>
    <w:rsid w:val="0000291A"/>
    <w:rsid w:val="00022F26"/>
    <w:rsid w:val="00030108"/>
    <w:rsid w:val="00032719"/>
    <w:rsid w:val="00033991"/>
    <w:rsid w:val="00037144"/>
    <w:rsid w:val="00052BE8"/>
    <w:rsid w:val="00080A52"/>
    <w:rsid w:val="000877DF"/>
    <w:rsid w:val="000C102D"/>
    <w:rsid w:val="000E7814"/>
    <w:rsid w:val="00144D44"/>
    <w:rsid w:val="00147B53"/>
    <w:rsid w:val="0015291E"/>
    <w:rsid w:val="00156A39"/>
    <w:rsid w:val="001639CC"/>
    <w:rsid w:val="00170733"/>
    <w:rsid w:val="00190287"/>
    <w:rsid w:val="001B45B0"/>
    <w:rsid w:val="001C34C9"/>
    <w:rsid w:val="001D6B93"/>
    <w:rsid w:val="002031B2"/>
    <w:rsid w:val="00203618"/>
    <w:rsid w:val="00204C03"/>
    <w:rsid w:val="002205D8"/>
    <w:rsid w:val="00235118"/>
    <w:rsid w:val="00240C90"/>
    <w:rsid w:val="00243893"/>
    <w:rsid w:val="00250B0E"/>
    <w:rsid w:val="00257A31"/>
    <w:rsid w:val="00275DCF"/>
    <w:rsid w:val="00276756"/>
    <w:rsid w:val="00283714"/>
    <w:rsid w:val="00287979"/>
    <w:rsid w:val="0029445F"/>
    <w:rsid w:val="002A132A"/>
    <w:rsid w:val="002A2064"/>
    <w:rsid w:val="002A422C"/>
    <w:rsid w:val="002C1571"/>
    <w:rsid w:val="002C2D64"/>
    <w:rsid w:val="002E0361"/>
    <w:rsid w:val="002F43F7"/>
    <w:rsid w:val="002F5514"/>
    <w:rsid w:val="00304B4D"/>
    <w:rsid w:val="00324404"/>
    <w:rsid w:val="003359F5"/>
    <w:rsid w:val="0033606B"/>
    <w:rsid w:val="0034141A"/>
    <w:rsid w:val="00343AC9"/>
    <w:rsid w:val="003710E7"/>
    <w:rsid w:val="00373D36"/>
    <w:rsid w:val="0037440C"/>
    <w:rsid w:val="00386679"/>
    <w:rsid w:val="00386FC7"/>
    <w:rsid w:val="00387BBF"/>
    <w:rsid w:val="003B2BAD"/>
    <w:rsid w:val="003B6B23"/>
    <w:rsid w:val="003C2297"/>
    <w:rsid w:val="003C2C37"/>
    <w:rsid w:val="003C7293"/>
    <w:rsid w:val="003D6087"/>
    <w:rsid w:val="003F57FB"/>
    <w:rsid w:val="0042193C"/>
    <w:rsid w:val="00430095"/>
    <w:rsid w:val="004407CA"/>
    <w:rsid w:val="00441B80"/>
    <w:rsid w:val="0044762C"/>
    <w:rsid w:val="004521B9"/>
    <w:rsid w:val="004A0893"/>
    <w:rsid w:val="004B1394"/>
    <w:rsid w:val="004B358D"/>
    <w:rsid w:val="004B4B4A"/>
    <w:rsid w:val="004B6DC3"/>
    <w:rsid w:val="004D5DA6"/>
    <w:rsid w:val="004D7935"/>
    <w:rsid w:val="004D7DEB"/>
    <w:rsid w:val="004E0A43"/>
    <w:rsid w:val="004E1A5C"/>
    <w:rsid w:val="004F24A1"/>
    <w:rsid w:val="004F418B"/>
    <w:rsid w:val="004F47CB"/>
    <w:rsid w:val="004F6D24"/>
    <w:rsid w:val="0054252C"/>
    <w:rsid w:val="0058451E"/>
    <w:rsid w:val="00595E8B"/>
    <w:rsid w:val="005A0540"/>
    <w:rsid w:val="005C01F0"/>
    <w:rsid w:val="005F04CE"/>
    <w:rsid w:val="00604FA3"/>
    <w:rsid w:val="0060615C"/>
    <w:rsid w:val="006134D3"/>
    <w:rsid w:val="00614510"/>
    <w:rsid w:val="006278BF"/>
    <w:rsid w:val="00644A07"/>
    <w:rsid w:val="00650FD3"/>
    <w:rsid w:val="0066399C"/>
    <w:rsid w:val="00681EA6"/>
    <w:rsid w:val="006960A1"/>
    <w:rsid w:val="00696179"/>
    <w:rsid w:val="006C2FD2"/>
    <w:rsid w:val="006C39CA"/>
    <w:rsid w:val="006D4E1D"/>
    <w:rsid w:val="006D7998"/>
    <w:rsid w:val="006D7A6B"/>
    <w:rsid w:val="006F4B53"/>
    <w:rsid w:val="006F769E"/>
    <w:rsid w:val="00721886"/>
    <w:rsid w:val="00721C20"/>
    <w:rsid w:val="00730785"/>
    <w:rsid w:val="00737BC4"/>
    <w:rsid w:val="00742D7F"/>
    <w:rsid w:val="00743215"/>
    <w:rsid w:val="00744CCD"/>
    <w:rsid w:val="0075367D"/>
    <w:rsid w:val="00763CDF"/>
    <w:rsid w:val="007959EB"/>
    <w:rsid w:val="007967EC"/>
    <w:rsid w:val="00796DC7"/>
    <w:rsid w:val="007972A6"/>
    <w:rsid w:val="00797E10"/>
    <w:rsid w:val="007A085D"/>
    <w:rsid w:val="007C0C95"/>
    <w:rsid w:val="007E1112"/>
    <w:rsid w:val="007E3112"/>
    <w:rsid w:val="007E44FE"/>
    <w:rsid w:val="007E48C3"/>
    <w:rsid w:val="0081175B"/>
    <w:rsid w:val="00826CF3"/>
    <w:rsid w:val="0083649B"/>
    <w:rsid w:val="00840ED2"/>
    <w:rsid w:val="008417E7"/>
    <w:rsid w:val="00860763"/>
    <w:rsid w:val="00861053"/>
    <w:rsid w:val="0087200C"/>
    <w:rsid w:val="00873BEC"/>
    <w:rsid w:val="00876D8E"/>
    <w:rsid w:val="00885FCF"/>
    <w:rsid w:val="008A5B3A"/>
    <w:rsid w:val="008B15B2"/>
    <w:rsid w:val="008C6B9A"/>
    <w:rsid w:val="008D60A6"/>
    <w:rsid w:val="008E42B6"/>
    <w:rsid w:val="008E7580"/>
    <w:rsid w:val="0090267F"/>
    <w:rsid w:val="00905EAA"/>
    <w:rsid w:val="009261C4"/>
    <w:rsid w:val="00932D1E"/>
    <w:rsid w:val="00932F89"/>
    <w:rsid w:val="0094070B"/>
    <w:rsid w:val="00942F53"/>
    <w:rsid w:val="00945D55"/>
    <w:rsid w:val="00946664"/>
    <w:rsid w:val="00952350"/>
    <w:rsid w:val="00957308"/>
    <w:rsid w:val="00962651"/>
    <w:rsid w:val="00962E8E"/>
    <w:rsid w:val="009666B4"/>
    <w:rsid w:val="009771FC"/>
    <w:rsid w:val="00977416"/>
    <w:rsid w:val="009B1C20"/>
    <w:rsid w:val="009B7851"/>
    <w:rsid w:val="009D06EC"/>
    <w:rsid w:val="009D7802"/>
    <w:rsid w:val="009E3AE2"/>
    <w:rsid w:val="009E47E5"/>
    <w:rsid w:val="00A1587A"/>
    <w:rsid w:val="00A23E0A"/>
    <w:rsid w:val="00A415D9"/>
    <w:rsid w:val="00A43645"/>
    <w:rsid w:val="00A477DF"/>
    <w:rsid w:val="00A5426F"/>
    <w:rsid w:val="00A606A9"/>
    <w:rsid w:val="00A744ED"/>
    <w:rsid w:val="00A75667"/>
    <w:rsid w:val="00A8440E"/>
    <w:rsid w:val="00AD1BDC"/>
    <w:rsid w:val="00AD42AE"/>
    <w:rsid w:val="00AD5044"/>
    <w:rsid w:val="00AE7FC1"/>
    <w:rsid w:val="00AF2AC4"/>
    <w:rsid w:val="00B00D29"/>
    <w:rsid w:val="00B274B4"/>
    <w:rsid w:val="00B34CDE"/>
    <w:rsid w:val="00B56844"/>
    <w:rsid w:val="00B66ED8"/>
    <w:rsid w:val="00B76A7A"/>
    <w:rsid w:val="00BA00F3"/>
    <w:rsid w:val="00BA560C"/>
    <w:rsid w:val="00BB45DB"/>
    <w:rsid w:val="00BE6022"/>
    <w:rsid w:val="00BF72BA"/>
    <w:rsid w:val="00C0595E"/>
    <w:rsid w:val="00C27C42"/>
    <w:rsid w:val="00C3021C"/>
    <w:rsid w:val="00C50FF3"/>
    <w:rsid w:val="00C55AF1"/>
    <w:rsid w:val="00C64C07"/>
    <w:rsid w:val="00C938B8"/>
    <w:rsid w:val="00C96199"/>
    <w:rsid w:val="00CA1C31"/>
    <w:rsid w:val="00CA22AC"/>
    <w:rsid w:val="00CB01C7"/>
    <w:rsid w:val="00CD0ABF"/>
    <w:rsid w:val="00CD7D6A"/>
    <w:rsid w:val="00CE54BC"/>
    <w:rsid w:val="00CE5EDF"/>
    <w:rsid w:val="00D101A9"/>
    <w:rsid w:val="00D15D84"/>
    <w:rsid w:val="00D36EC5"/>
    <w:rsid w:val="00D6335B"/>
    <w:rsid w:val="00D67DF2"/>
    <w:rsid w:val="00D829BE"/>
    <w:rsid w:val="00D8435C"/>
    <w:rsid w:val="00D925EF"/>
    <w:rsid w:val="00DA2DA6"/>
    <w:rsid w:val="00DA524E"/>
    <w:rsid w:val="00DC38DE"/>
    <w:rsid w:val="00DE0DC2"/>
    <w:rsid w:val="00DE4C52"/>
    <w:rsid w:val="00DF525F"/>
    <w:rsid w:val="00E32697"/>
    <w:rsid w:val="00E43452"/>
    <w:rsid w:val="00E50015"/>
    <w:rsid w:val="00E556D9"/>
    <w:rsid w:val="00E630BD"/>
    <w:rsid w:val="00E77707"/>
    <w:rsid w:val="00E83FA9"/>
    <w:rsid w:val="00E90C56"/>
    <w:rsid w:val="00E90E6B"/>
    <w:rsid w:val="00E93228"/>
    <w:rsid w:val="00EA2F79"/>
    <w:rsid w:val="00EA6CD4"/>
    <w:rsid w:val="00EB5845"/>
    <w:rsid w:val="00EB6EB6"/>
    <w:rsid w:val="00EB7CDE"/>
    <w:rsid w:val="00EC2B15"/>
    <w:rsid w:val="00ED4319"/>
    <w:rsid w:val="00ED4439"/>
    <w:rsid w:val="00EE4513"/>
    <w:rsid w:val="00F036C3"/>
    <w:rsid w:val="00F045FA"/>
    <w:rsid w:val="00F10506"/>
    <w:rsid w:val="00F13F27"/>
    <w:rsid w:val="00F178FE"/>
    <w:rsid w:val="00F26214"/>
    <w:rsid w:val="00F363AB"/>
    <w:rsid w:val="00F84996"/>
    <w:rsid w:val="00F93224"/>
    <w:rsid w:val="00FA72A8"/>
    <w:rsid w:val="00FB1102"/>
    <w:rsid w:val="00FB7C5F"/>
    <w:rsid w:val="00FF2ECC"/>
    <w:rsid w:val="00FF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Single"/>
    <w:link w:val="Heading1Char"/>
    <w:uiPriority w:val="9"/>
    <w:qFormat/>
    <w:rsid w:val="007E1112"/>
    <w:pPr>
      <w:keepNext/>
      <w:keepLines/>
      <w:numPr>
        <w:numId w:val="3"/>
      </w:numPr>
      <w:overflowPunct w:val="0"/>
      <w:autoSpaceDE w:val="0"/>
      <w:autoSpaceDN w:val="0"/>
      <w:adjustRightInd w:val="0"/>
      <w:spacing w:after="120" w:line="280" w:lineRule="exact"/>
      <w:jc w:val="center"/>
      <w:textAlignment w:val="baseline"/>
      <w:outlineLvl w:val="0"/>
    </w:pPr>
    <w:rPr>
      <w:rFonts w:ascii="NewCenturySchlbk LT" w:eastAsia="Times New Roman" w:hAnsi="NewCenturySchlbk LT" w:cs="Times New Roman"/>
      <w:b/>
      <w:caps/>
      <w:sz w:val="24"/>
      <w:szCs w:val="20"/>
    </w:rPr>
  </w:style>
  <w:style w:type="paragraph" w:styleId="Heading2">
    <w:name w:val="heading 2"/>
    <w:basedOn w:val="Heading1"/>
    <w:next w:val="Single"/>
    <w:link w:val="Heading2Char"/>
    <w:uiPriority w:val="9"/>
    <w:qFormat/>
    <w:rsid w:val="007E1112"/>
    <w:pPr>
      <w:numPr>
        <w:ilvl w:val="1"/>
      </w:numPr>
      <w:ind w:left="432" w:hanging="432"/>
      <w:jc w:val="left"/>
      <w:outlineLvl w:val="1"/>
    </w:pPr>
  </w:style>
  <w:style w:type="paragraph" w:styleId="Heading3">
    <w:name w:val="heading 3"/>
    <w:basedOn w:val="Heading2"/>
    <w:next w:val="Single"/>
    <w:link w:val="Heading3Char"/>
    <w:uiPriority w:val="9"/>
    <w:qFormat/>
    <w:rsid w:val="007E1112"/>
    <w:pPr>
      <w:numPr>
        <w:ilvl w:val="2"/>
      </w:numPr>
      <w:tabs>
        <w:tab w:val="left" w:pos="864"/>
      </w:tabs>
      <w:ind w:left="864"/>
      <w:outlineLvl w:val="2"/>
    </w:pPr>
    <w:rPr>
      <w:caps w:val="0"/>
    </w:rPr>
  </w:style>
  <w:style w:type="paragraph" w:styleId="Heading4">
    <w:name w:val="heading 4"/>
    <w:basedOn w:val="Heading3"/>
    <w:next w:val="Single"/>
    <w:link w:val="Heading4Char"/>
    <w:uiPriority w:val="9"/>
    <w:qFormat/>
    <w:rsid w:val="007E1112"/>
    <w:pPr>
      <w:numPr>
        <w:ilvl w:val="3"/>
      </w:numPr>
      <w:tabs>
        <w:tab w:val="clear" w:pos="864"/>
      </w:tabs>
      <w:ind w:left="1296"/>
      <w:outlineLvl w:val="3"/>
    </w:pPr>
  </w:style>
  <w:style w:type="paragraph" w:styleId="Heading5">
    <w:name w:val="heading 5"/>
    <w:basedOn w:val="Heading4"/>
    <w:next w:val="Single"/>
    <w:link w:val="Heading5Char"/>
    <w:uiPriority w:val="9"/>
    <w:qFormat/>
    <w:rsid w:val="007E1112"/>
    <w:pPr>
      <w:numPr>
        <w:ilvl w:val="4"/>
      </w:numPr>
      <w:tabs>
        <w:tab w:val="num" w:pos="2232"/>
      </w:tabs>
      <w:ind w:left="2880" w:hanging="720"/>
      <w:outlineLvl w:val="4"/>
    </w:pPr>
  </w:style>
  <w:style w:type="paragraph" w:styleId="Heading6">
    <w:name w:val="heading 6"/>
    <w:basedOn w:val="Heading5"/>
    <w:next w:val="Single"/>
    <w:link w:val="Heading6Char"/>
    <w:uiPriority w:val="9"/>
    <w:qFormat/>
    <w:rsid w:val="007E1112"/>
    <w:pPr>
      <w:numPr>
        <w:ilvl w:val="5"/>
      </w:numPr>
      <w:tabs>
        <w:tab w:val="num" w:pos="2232"/>
      </w:tabs>
      <w:ind w:left="2880" w:right="1440"/>
      <w:outlineLvl w:val="5"/>
    </w:pPr>
  </w:style>
  <w:style w:type="paragraph" w:styleId="Heading7">
    <w:name w:val="heading 7"/>
    <w:basedOn w:val="Heading6"/>
    <w:next w:val="Single"/>
    <w:link w:val="Heading7Char"/>
    <w:uiPriority w:val="9"/>
    <w:qFormat/>
    <w:rsid w:val="007E1112"/>
    <w:pPr>
      <w:numPr>
        <w:ilvl w:val="6"/>
      </w:numPr>
      <w:tabs>
        <w:tab w:val="num" w:pos="2232"/>
      </w:tabs>
      <w:ind w:left="2880" w:right="2160"/>
      <w:outlineLvl w:val="6"/>
    </w:pPr>
  </w:style>
  <w:style w:type="paragraph" w:styleId="Heading8">
    <w:name w:val="heading 8"/>
    <w:basedOn w:val="Heading7"/>
    <w:next w:val="Single"/>
    <w:link w:val="Heading8Char"/>
    <w:uiPriority w:val="9"/>
    <w:qFormat/>
    <w:rsid w:val="007E1112"/>
    <w:pPr>
      <w:numPr>
        <w:ilvl w:val="7"/>
      </w:numPr>
      <w:tabs>
        <w:tab w:val="num" w:pos="2232"/>
      </w:tabs>
      <w:ind w:left="2880"/>
      <w:outlineLvl w:val="7"/>
    </w:pPr>
  </w:style>
  <w:style w:type="paragraph" w:styleId="Heading9">
    <w:name w:val="heading 9"/>
    <w:basedOn w:val="Heading8"/>
    <w:next w:val="Single"/>
    <w:link w:val="Heading9Char"/>
    <w:uiPriority w:val="9"/>
    <w:qFormat/>
    <w:rsid w:val="007E1112"/>
    <w:pPr>
      <w:numPr>
        <w:ilvl w:val="8"/>
      </w:numPr>
      <w:tabs>
        <w:tab w:val="num" w:pos="2232"/>
      </w:tabs>
      <w:ind w:left="28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118"/>
    <w:pPr>
      <w:ind w:left="720"/>
      <w:contextualSpacing/>
    </w:pPr>
  </w:style>
  <w:style w:type="paragraph" w:styleId="FootnoteText">
    <w:name w:val="footnote text"/>
    <w:basedOn w:val="Normal"/>
    <w:link w:val="FootnoteTextChar"/>
    <w:uiPriority w:val="99"/>
    <w:unhideWhenUsed/>
    <w:rsid w:val="007E1112"/>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7E1112"/>
    <w:rPr>
      <w:rFonts w:eastAsia="Times New Roman"/>
      <w:sz w:val="20"/>
      <w:szCs w:val="20"/>
    </w:rPr>
  </w:style>
  <w:style w:type="character" w:styleId="FootnoteReference">
    <w:name w:val="footnote reference"/>
    <w:basedOn w:val="DefaultParagraphFont"/>
    <w:uiPriority w:val="99"/>
    <w:semiHidden/>
    <w:unhideWhenUsed/>
    <w:rsid w:val="007E1112"/>
    <w:rPr>
      <w:rFonts w:cs="Times New Roman"/>
      <w:vertAlign w:val="superscript"/>
    </w:rPr>
  </w:style>
  <w:style w:type="character" w:customStyle="1" w:styleId="Heading1Char">
    <w:name w:val="Heading 1 Char"/>
    <w:basedOn w:val="DefaultParagraphFont"/>
    <w:link w:val="Heading1"/>
    <w:uiPriority w:val="9"/>
    <w:rsid w:val="007E1112"/>
    <w:rPr>
      <w:rFonts w:ascii="NewCenturySchlbk LT" w:eastAsia="Times New Roman" w:hAnsi="NewCenturySchlbk LT" w:cs="Times New Roman"/>
      <w:b/>
      <w:caps/>
      <w:sz w:val="24"/>
      <w:szCs w:val="20"/>
    </w:rPr>
  </w:style>
  <w:style w:type="character" w:customStyle="1" w:styleId="Heading2Char">
    <w:name w:val="Heading 2 Char"/>
    <w:basedOn w:val="DefaultParagraphFont"/>
    <w:link w:val="Heading2"/>
    <w:uiPriority w:val="9"/>
    <w:rsid w:val="007E1112"/>
    <w:rPr>
      <w:rFonts w:ascii="NewCenturySchlbk LT" w:eastAsia="Times New Roman" w:hAnsi="NewCenturySchlbk LT" w:cs="Times New Roman"/>
      <w:b/>
      <w:caps/>
      <w:sz w:val="24"/>
      <w:szCs w:val="20"/>
    </w:rPr>
  </w:style>
  <w:style w:type="character" w:customStyle="1" w:styleId="Heading3Char">
    <w:name w:val="Heading 3 Char"/>
    <w:basedOn w:val="DefaultParagraphFont"/>
    <w:link w:val="Heading3"/>
    <w:uiPriority w:val="9"/>
    <w:rsid w:val="007E1112"/>
    <w:rPr>
      <w:rFonts w:ascii="NewCenturySchlbk LT" w:eastAsia="Times New Roman" w:hAnsi="NewCenturySchlbk LT" w:cs="Times New Roman"/>
      <w:b/>
      <w:sz w:val="24"/>
      <w:szCs w:val="20"/>
    </w:rPr>
  </w:style>
  <w:style w:type="character" w:customStyle="1" w:styleId="Heading4Char">
    <w:name w:val="Heading 4 Char"/>
    <w:basedOn w:val="DefaultParagraphFont"/>
    <w:link w:val="Heading4"/>
    <w:uiPriority w:val="9"/>
    <w:rsid w:val="007E1112"/>
    <w:rPr>
      <w:rFonts w:ascii="NewCenturySchlbk LT" w:eastAsia="Times New Roman" w:hAnsi="NewCenturySchlbk LT" w:cs="Times New Roman"/>
      <w:b/>
      <w:sz w:val="24"/>
      <w:szCs w:val="20"/>
    </w:rPr>
  </w:style>
  <w:style w:type="character" w:customStyle="1" w:styleId="Heading5Char">
    <w:name w:val="Heading 5 Char"/>
    <w:basedOn w:val="DefaultParagraphFont"/>
    <w:link w:val="Heading5"/>
    <w:uiPriority w:val="9"/>
    <w:rsid w:val="007E1112"/>
    <w:rPr>
      <w:rFonts w:ascii="NewCenturySchlbk LT" w:eastAsia="Times New Roman" w:hAnsi="NewCenturySchlbk LT" w:cs="Times New Roman"/>
      <w:b/>
      <w:sz w:val="24"/>
      <w:szCs w:val="20"/>
    </w:rPr>
  </w:style>
  <w:style w:type="character" w:customStyle="1" w:styleId="Heading6Char">
    <w:name w:val="Heading 6 Char"/>
    <w:basedOn w:val="DefaultParagraphFont"/>
    <w:link w:val="Heading6"/>
    <w:uiPriority w:val="9"/>
    <w:rsid w:val="007E1112"/>
    <w:rPr>
      <w:rFonts w:ascii="NewCenturySchlbk LT" w:eastAsia="Times New Roman" w:hAnsi="NewCenturySchlbk LT" w:cs="Times New Roman"/>
      <w:b/>
      <w:sz w:val="24"/>
      <w:szCs w:val="20"/>
    </w:rPr>
  </w:style>
  <w:style w:type="character" w:customStyle="1" w:styleId="Heading7Char">
    <w:name w:val="Heading 7 Char"/>
    <w:basedOn w:val="DefaultParagraphFont"/>
    <w:link w:val="Heading7"/>
    <w:uiPriority w:val="9"/>
    <w:rsid w:val="007E1112"/>
    <w:rPr>
      <w:rFonts w:ascii="NewCenturySchlbk LT" w:eastAsia="Times New Roman" w:hAnsi="NewCenturySchlbk LT" w:cs="Times New Roman"/>
      <w:b/>
      <w:sz w:val="24"/>
      <w:szCs w:val="20"/>
    </w:rPr>
  </w:style>
  <w:style w:type="character" w:customStyle="1" w:styleId="Heading8Char">
    <w:name w:val="Heading 8 Char"/>
    <w:basedOn w:val="DefaultParagraphFont"/>
    <w:link w:val="Heading8"/>
    <w:uiPriority w:val="9"/>
    <w:rsid w:val="007E1112"/>
    <w:rPr>
      <w:rFonts w:ascii="NewCenturySchlbk LT" w:eastAsia="Times New Roman" w:hAnsi="NewCenturySchlbk LT" w:cs="Times New Roman"/>
      <w:b/>
      <w:sz w:val="24"/>
      <w:szCs w:val="20"/>
    </w:rPr>
  </w:style>
  <w:style w:type="character" w:customStyle="1" w:styleId="Heading9Char">
    <w:name w:val="Heading 9 Char"/>
    <w:basedOn w:val="DefaultParagraphFont"/>
    <w:link w:val="Heading9"/>
    <w:uiPriority w:val="9"/>
    <w:rsid w:val="007E1112"/>
    <w:rPr>
      <w:rFonts w:ascii="NewCenturySchlbk LT" w:eastAsia="Times New Roman" w:hAnsi="NewCenturySchlbk LT" w:cs="Times New Roman"/>
      <w:b/>
      <w:sz w:val="24"/>
      <w:szCs w:val="20"/>
    </w:rPr>
  </w:style>
  <w:style w:type="paragraph" w:customStyle="1" w:styleId="Single">
    <w:name w:val="Single"/>
    <w:basedOn w:val="Normal"/>
    <w:link w:val="SingleChar"/>
    <w:qFormat/>
    <w:rsid w:val="007E1112"/>
    <w:pPr>
      <w:overflowPunct w:val="0"/>
      <w:autoSpaceDE w:val="0"/>
      <w:autoSpaceDN w:val="0"/>
      <w:adjustRightInd w:val="0"/>
      <w:spacing w:after="120" w:line="280" w:lineRule="exact"/>
      <w:ind w:firstLine="432"/>
      <w:jc w:val="both"/>
      <w:textAlignment w:val="baseline"/>
    </w:pPr>
    <w:rPr>
      <w:rFonts w:ascii="NewCenturySchlbk LT" w:eastAsia="Times New Roman" w:hAnsi="NewCenturySchlbk LT" w:cs="Times New Roman"/>
      <w:sz w:val="24"/>
      <w:szCs w:val="20"/>
    </w:rPr>
  </w:style>
  <w:style w:type="paragraph" w:styleId="Footer">
    <w:name w:val="footer"/>
    <w:basedOn w:val="Normal"/>
    <w:link w:val="FooterChar"/>
    <w:uiPriority w:val="99"/>
    <w:rsid w:val="007E1112"/>
    <w:pPr>
      <w:tabs>
        <w:tab w:val="center" w:pos="4680"/>
        <w:tab w:val="right" w:pos="9360"/>
      </w:tabs>
      <w:overflowPunct w:val="0"/>
      <w:autoSpaceDE w:val="0"/>
      <w:autoSpaceDN w:val="0"/>
      <w:adjustRightInd w:val="0"/>
      <w:spacing w:after="0" w:line="240" w:lineRule="auto"/>
      <w:textAlignment w:val="baseline"/>
    </w:pPr>
    <w:rPr>
      <w:rFonts w:ascii="NewCenturySchlbk LT" w:eastAsia="Times New Roman" w:hAnsi="NewCenturySchlbk LT" w:cs="Times New Roman"/>
      <w:sz w:val="24"/>
      <w:szCs w:val="20"/>
    </w:rPr>
  </w:style>
  <w:style w:type="character" w:customStyle="1" w:styleId="FooterChar">
    <w:name w:val="Footer Char"/>
    <w:basedOn w:val="DefaultParagraphFont"/>
    <w:link w:val="Footer"/>
    <w:uiPriority w:val="99"/>
    <w:rsid w:val="007E1112"/>
    <w:rPr>
      <w:rFonts w:ascii="NewCenturySchlbk LT" w:eastAsia="Times New Roman" w:hAnsi="NewCenturySchlbk LT" w:cs="Times New Roman"/>
      <w:sz w:val="24"/>
      <w:szCs w:val="20"/>
    </w:rPr>
  </w:style>
  <w:style w:type="paragraph" w:styleId="Header">
    <w:name w:val="header"/>
    <w:basedOn w:val="Normal"/>
    <w:link w:val="HeaderChar"/>
    <w:uiPriority w:val="99"/>
    <w:rsid w:val="007E1112"/>
    <w:pPr>
      <w:tabs>
        <w:tab w:val="center" w:pos="4680"/>
        <w:tab w:val="right" w:pos="9360"/>
      </w:tabs>
      <w:overflowPunct w:val="0"/>
      <w:autoSpaceDE w:val="0"/>
      <w:autoSpaceDN w:val="0"/>
      <w:adjustRightInd w:val="0"/>
      <w:spacing w:after="0" w:line="240" w:lineRule="auto"/>
      <w:textAlignment w:val="baseline"/>
    </w:pPr>
    <w:rPr>
      <w:rFonts w:ascii="NewCenturySchlbk LT" w:eastAsia="Times New Roman" w:hAnsi="NewCenturySchlbk LT" w:cs="Times New Roman"/>
      <w:sz w:val="24"/>
      <w:szCs w:val="20"/>
    </w:rPr>
  </w:style>
  <w:style w:type="character" w:customStyle="1" w:styleId="HeaderChar">
    <w:name w:val="Header Char"/>
    <w:basedOn w:val="DefaultParagraphFont"/>
    <w:link w:val="Header"/>
    <w:uiPriority w:val="99"/>
    <w:rsid w:val="007E1112"/>
    <w:rPr>
      <w:rFonts w:ascii="NewCenturySchlbk LT" w:eastAsia="Times New Roman" w:hAnsi="NewCenturySchlbk LT" w:cs="Times New Roman"/>
      <w:sz w:val="24"/>
      <w:szCs w:val="20"/>
    </w:rPr>
  </w:style>
  <w:style w:type="paragraph" w:customStyle="1" w:styleId="SingleBlock">
    <w:name w:val="Single Block"/>
    <w:basedOn w:val="Single"/>
    <w:rsid w:val="007E1112"/>
    <w:pPr>
      <w:ind w:firstLine="0"/>
    </w:pPr>
  </w:style>
  <w:style w:type="paragraph" w:customStyle="1" w:styleId="SingleCenter">
    <w:name w:val="Single Center"/>
    <w:basedOn w:val="Single"/>
    <w:next w:val="Single"/>
    <w:rsid w:val="007E1112"/>
    <w:pPr>
      <w:ind w:firstLine="0"/>
      <w:jc w:val="center"/>
    </w:pPr>
  </w:style>
  <w:style w:type="character" w:styleId="PageNumber">
    <w:name w:val="page number"/>
    <w:basedOn w:val="DefaultParagraphFont"/>
    <w:uiPriority w:val="99"/>
    <w:rsid w:val="007E1112"/>
    <w:rPr>
      <w:rFonts w:ascii="NewCenturySchlbk LT" w:hAnsi="NewCenturySchlbk LT"/>
    </w:rPr>
  </w:style>
  <w:style w:type="paragraph" w:styleId="TOC1">
    <w:name w:val="toc 1"/>
    <w:basedOn w:val="Normal"/>
    <w:next w:val="Normal"/>
    <w:uiPriority w:val="39"/>
    <w:semiHidden/>
    <w:rsid w:val="007E1112"/>
    <w:pPr>
      <w:tabs>
        <w:tab w:val="right" w:leader="dot" w:pos="5932"/>
      </w:tabs>
      <w:overflowPunct w:val="0"/>
      <w:autoSpaceDE w:val="0"/>
      <w:autoSpaceDN w:val="0"/>
      <w:adjustRightInd w:val="0"/>
      <w:spacing w:before="120" w:after="0" w:line="260" w:lineRule="exact"/>
      <w:ind w:right="720"/>
      <w:textAlignment w:val="baseline"/>
    </w:pPr>
    <w:rPr>
      <w:rFonts w:ascii="NewCenturySchlbk LT" w:eastAsia="Times New Roman" w:hAnsi="NewCenturySchlbk LT" w:cs="Times New Roman"/>
      <w:b/>
      <w:color w:val="0000FF"/>
      <w:sz w:val="26"/>
      <w:szCs w:val="20"/>
    </w:rPr>
  </w:style>
  <w:style w:type="paragraph" w:styleId="TableofAuthorities">
    <w:name w:val="table of authorities"/>
    <w:basedOn w:val="Normal"/>
    <w:next w:val="Normal"/>
    <w:uiPriority w:val="99"/>
    <w:semiHidden/>
    <w:rsid w:val="007E1112"/>
    <w:pPr>
      <w:tabs>
        <w:tab w:val="right" w:leader="dot" w:pos="5932"/>
      </w:tabs>
      <w:overflowPunct w:val="0"/>
      <w:autoSpaceDE w:val="0"/>
      <w:autoSpaceDN w:val="0"/>
      <w:adjustRightInd w:val="0"/>
      <w:spacing w:after="0" w:line="240" w:lineRule="auto"/>
      <w:ind w:left="360" w:right="1238" w:hanging="360"/>
      <w:textAlignment w:val="baseline"/>
    </w:pPr>
    <w:rPr>
      <w:rFonts w:ascii="NewCenturySchlbk LT" w:eastAsia="Times New Roman" w:hAnsi="NewCenturySchlbk LT" w:cs="Times New Roman"/>
      <w:sz w:val="24"/>
      <w:szCs w:val="20"/>
    </w:rPr>
  </w:style>
  <w:style w:type="paragraph" w:customStyle="1" w:styleId="c">
    <w:name w:val="c"/>
    <w:basedOn w:val="Normal"/>
    <w:rsid w:val="007E1112"/>
    <w:pPr>
      <w:keepLines/>
      <w:overflowPunct w:val="0"/>
      <w:autoSpaceDE w:val="0"/>
      <w:autoSpaceDN w:val="0"/>
      <w:adjustRightInd w:val="0"/>
      <w:spacing w:after="0" w:line="-280" w:lineRule="auto"/>
      <w:jc w:val="center"/>
      <w:textAlignment w:val="baseline"/>
    </w:pPr>
    <w:rPr>
      <w:rFonts w:ascii="Courier" w:eastAsia="Times New Roman" w:hAnsi="Courier" w:cs="Times New Roman"/>
      <w:sz w:val="26"/>
      <w:szCs w:val="20"/>
    </w:rPr>
  </w:style>
  <w:style w:type="paragraph" w:customStyle="1" w:styleId="CourtVenue">
    <w:name w:val="Court Venue"/>
    <w:basedOn w:val="Normal"/>
    <w:rsid w:val="007E1112"/>
    <w:pPr>
      <w:overflowPunct w:val="0"/>
      <w:autoSpaceDE w:val="0"/>
      <w:autoSpaceDN w:val="0"/>
      <w:adjustRightInd w:val="0"/>
      <w:spacing w:after="0" w:line="240" w:lineRule="auto"/>
      <w:jc w:val="center"/>
      <w:textAlignment w:val="baseline"/>
    </w:pPr>
    <w:rPr>
      <w:rFonts w:ascii="Lincoln" w:eastAsia="Times New Roman" w:hAnsi="Lincoln" w:cs="Times New Roman"/>
      <w:sz w:val="40"/>
      <w:szCs w:val="40"/>
    </w:rPr>
  </w:style>
  <w:style w:type="character" w:customStyle="1" w:styleId="SingleChar">
    <w:name w:val="Single Char"/>
    <w:link w:val="Single"/>
    <w:locked/>
    <w:rsid w:val="007E1112"/>
    <w:rPr>
      <w:rFonts w:ascii="NewCenturySchlbk LT" w:eastAsia="Times New Roman" w:hAnsi="NewCenturySchlbk LT" w:cs="Times New Roman"/>
      <w:sz w:val="24"/>
      <w:szCs w:val="20"/>
    </w:rPr>
  </w:style>
  <w:style w:type="paragraph" w:styleId="TOAHeading">
    <w:name w:val="toa heading"/>
    <w:basedOn w:val="Normal"/>
    <w:next w:val="Normal"/>
    <w:uiPriority w:val="99"/>
    <w:semiHidden/>
    <w:rsid w:val="007E1112"/>
    <w:pPr>
      <w:overflowPunct w:val="0"/>
      <w:autoSpaceDE w:val="0"/>
      <w:autoSpaceDN w:val="0"/>
      <w:adjustRightInd w:val="0"/>
      <w:spacing w:before="120" w:after="0" w:line="240" w:lineRule="auto"/>
      <w:textAlignment w:val="baseline"/>
    </w:pPr>
    <w:rPr>
      <w:rFonts w:ascii="Arial" w:eastAsia="Times New Roman" w:hAnsi="Arial" w:cs="Arial"/>
      <w:b/>
      <w:bCs/>
      <w:sz w:val="24"/>
      <w:szCs w:val="24"/>
    </w:rPr>
  </w:style>
  <w:style w:type="character" w:styleId="CommentReference">
    <w:name w:val="annotation reference"/>
    <w:basedOn w:val="DefaultParagraphFont"/>
    <w:uiPriority w:val="99"/>
    <w:semiHidden/>
    <w:unhideWhenUsed/>
    <w:rsid w:val="006C39CA"/>
    <w:rPr>
      <w:sz w:val="16"/>
      <w:szCs w:val="16"/>
    </w:rPr>
  </w:style>
  <w:style w:type="paragraph" w:styleId="CommentText">
    <w:name w:val="annotation text"/>
    <w:basedOn w:val="Normal"/>
    <w:link w:val="CommentTextChar"/>
    <w:uiPriority w:val="99"/>
    <w:semiHidden/>
    <w:unhideWhenUsed/>
    <w:rsid w:val="006C39CA"/>
    <w:pPr>
      <w:spacing w:line="240" w:lineRule="auto"/>
    </w:pPr>
    <w:rPr>
      <w:sz w:val="20"/>
      <w:szCs w:val="20"/>
    </w:rPr>
  </w:style>
  <w:style w:type="character" w:customStyle="1" w:styleId="CommentTextChar">
    <w:name w:val="Comment Text Char"/>
    <w:basedOn w:val="DefaultParagraphFont"/>
    <w:link w:val="CommentText"/>
    <w:uiPriority w:val="99"/>
    <w:semiHidden/>
    <w:rsid w:val="006C39CA"/>
    <w:rPr>
      <w:sz w:val="20"/>
      <w:szCs w:val="20"/>
    </w:rPr>
  </w:style>
  <w:style w:type="paragraph" w:styleId="CommentSubject">
    <w:name w:val="annotation subject"/>
    <w:basedOn w:val="CommentText"/>
    <w:next w:val="CommentText"/>
    <w:link w:val="CommentSubjectChar"/>
    <w:uiPriority w:val="99"/>
    <w:semiHidden/>
    <w:unhideWhenUsed/>
    <w:rsid w:val="006C39CA"/>
    <w:rPr>
      <w:b/>
      <w:bCs/>
    </w:rPr>
  </w:style>
  <w:style w:type="character" w:customStyle="1" w:styleId="CommentSubjectChar">
    <w:name w:val="Comment Subject Char"/>
    <w:basedOn w:val="CommentTextChar"/>
    <w:link w:val="CommentSubject"/>
    <w:uiPriority w:val="99"/>
    <w:semiHidden/>
    <w:rsid w:val="006C39CA"/>
    <w:rPr>
      <w:b/>
      <w:bCs/>
      <w:sz w:val="20"/>
      <w:szCs w:val="20"/>
    </w:rPr>
  </w:style>
  <w:style w:type="paragraph" w:styleId="BalloonText">
    <w:name w:val="Balloon Text"/>
    <w:basedOn w:val="Normal"/>
    <w:link w:val="BalloonTextChar"/>
    <w:uiPriority w:val="99"/>
    <w:semiHidden/>
    <w:unhideWhenUsed/>
    <w:rsid w:val="006C3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9CA"/>
    <w:rPr>
      <w:rFonts w:ascii="Tahoma" w:hAnsi="Tahoma" w:cs="Tahoma"/>
      <w:sz w:val="16"/>
      <w:szCs w:val="16"/>
    </w:rPr>
  </w:style>
  <w:style w:type="character" w:customStyle="1" w:styleId="term1">
    <w:name w:val="term1"/>
    <w:basedOn w:val="DefaultParagraphFont"/>
    <w:rsid w:val="00721C20"/>
    <w:rPr>
      <w:rFonts w:cs="Times New Roman"/>
      <w:b/>
      <w:bCs/>
    </w:rPr>
  </w:style>
  <w:style w:type="character" w:styleId="Strong">
    <w:name w:val="Strong"/>
    <w:basedOn w:val="DefaultParagraphFont"/>
    <w:uiPriority w:val="22"/>
    <w:qFormat/>
    <w:rsid w:val="00E93228"/>
    <w:rPr>
      <w:b/>
      <w:bCs/>
    </w:rPr>
  </w:style>
  <w:style w:type="paragraph" w:styleId="NormalWeb">
    <w:name w:val="Normal (Web)"/>
    <w:basedOn w:val="Normal"/>
    <w:uiPriority w:val="99"/>
    <w:unhideWhenUsed/>
    <w:rsid w:val="00E93228"/>
    <w:pPr>
      <w:spacing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3228"/>
    <w:rPr>
      <w:color w:val="0000FF" w:themeColor="hyperlink"/>
      <w:u w:val="single"/>
    </w:rPr>
  </w:style>
  <w:style w:type="character" w:styleId="FollowedHyperlink">
    <w:name w:val="FollowedHyperlink"/>
    <w:basedOn w:val="DefaultParagraphFont"/>
    <w:uiPriority w:val="99"/>
    <w:semiHidden/>
    <w:unhideWhenUsed/>
    <w:rsid w:val="004476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Single"/>
    <w:link w:val="Heading1Char"/>
    <w:uiPriority w:val="9"/>
    <w:qFormat/>
    <w:rsid w:val="007E1112"/>
    <w:pPr>
      <w:keepNext/>
      <w:keepLines/>
      <w:numPr>
        <w:numId w:val="3"/>
      </w:numPr>
      <w:overflowPunct w:val="0"/>
      <w:autoSpaceDE w:val="0"/>
      <w:autoSpaceDN w:val="0"/>
      <w:adjustRightInd w:val="0"/>
      <w:spacing w:after="120" w:line="280" w:lineRule="exact"/>
      <w:jc w:val="center"/>
      <w:textAlignment w:val="baseline"/>
      <w:outlineLvl w:val="0"/>
    </w:pPr>
    <w:rPr>
      <w:rFonts w:ascii="NewCenturySchlbk LT" w:eastAsia="Times New Roman" w:hAnsi="NewCenturySchlbk LT" w:cs="Times New Roman"/>
      <w:b/>
      <w:caps/>
      <w:sz w:val="24"/>
      <w:szCs w:val="20"/>
    </w:rPr>
  </w:style>
  <w:style w:type="paragraph" w:styleId="Heading2">
    <w:name w:val="heading 2"/>
    <w:basedOn w:val="Heading1"/>
    <w:next w:val="Single"/>
    <w:link w:val="Heading2Char"/>
    <w:uiPriority w:val="9"/>
    <w:qFormat/>
    <w:rsid w:val="007E1112"/>
    <w:pPr>
      <w:numPr>
        <w:ilvl w:val="1"/>
      </w:numPr>
      <w:ind w:left="432" w:hanging="432"/>
      <w:jc w:val="left"/>
      <w:outlineLvl w:val="1"/>
    </w:pPr>
  </w:style>
  <w:style w:type="paragraph" w:styleId="Heading3">
    <w:name w:val="heading 3"/>
    <w:basedOn w:val="Heading2"/>
    <w:next w:val="Single"/>
    <w:link w:val="Heading3Char"/>
    <w:uiPriority w:val="9"/>
    <w:qFormat/>
    <w:rsid w:val="007E1112"/>
    <w:pPr>
      <w:numPr>
        <w:ilvl w:val="2"/>
      </w:numPr>
      <w:tabs>
        <w:tab w:val="left" w:pos="864"/>
      </w:tabs>
      <w:ind w:left="864"/>
      <w:outlineLvl w:val="2"/>
    </w:pPr>
    <w:rPr>
      <w:caps w:val="0"/>
    </w:rPr>
  </w:style>
  <w:style w:type="paragraph" w:styleId="Heading4">
    <w:name w:val="heading 4"/>
    <w:basedOn w:val="Heading3"/>
    <w:next w:val="Single"/>
    <w:link w:val="Heading4Char"/>
    <w:uiPriority w:val="9"/>
    <w:qFormat/>
    <w:rsid w:val="007E1112"/>
    <w:pPr>
      <w:numPr>
        <w:ilvl w:val="3"/>
      </w:numPr>
      <w:tabs>
        <w:tab w:val="clear" w:pos="864"/>
      </w:tabs>
      <w:ind w:left="1296"/>
      <w:outlineLvl w:val="3"/>
    </w:pPr>
  </w:style>
  <w:style w:type="paragraph" w:styleId="Heading5">
    <w:name w:val="heading 5"/>
    <w:basedOn w:val="Heading4"/>
    <w:next w:val="Single"/>
    <w:link w:val="Heading5Char"/>
    <w:uiPriority w:val="9"/>
    <w:qFormat/>
    <w:rsid w:val="007E1112"/>
    <w:pPr>
      <w:numPr>
        <w:ilvl w:val="4"/>
      </w:numPr>
      <w:tabs>
        <w:tab w:val="num" w:pos="2232"/>
      </w:tabs>
      <w:ind w:left="2880" w:hanging="720"/>
      <w:outlineLvl w:val="4"/>
    </w:pPr>
  </w:style>
  <w:style w:type="paragraph" w:styleId="Heading6">
    <w:name w:val="heading 6"/>
    <w:basedOn w:val="Heading5"/>
    <w:next w:val="Single"/>
    <w:link w:val="Heading6Char"/>
    <w:uiPriority w:val="9"/>
    <w:qFormat/>
    <w:rsid w:val="007E1112"/>
    <w:pPr>
      <w:numPr>
        <w:ilvl w:val="5"/>
      </w:numPr>
      <w:tabs>
        <w:tab w:val="num" w:pos="2232"/>
      </w:tabs>
      <w:ind w:left="2880" w:right="1440"/>
      <w:outlineLvl w:val="5"/>
    </w:pPr>
  </w:style>
  <w:style w:type="paragraph" w:styleId="Heading7">
    <w:name w:val="heading 7"/>
    <w:basedOn w:val="Heading6"/>
    <w:next w:val="Single"/>
    <w:link w:val="Heading7Char"/>
    <w:uiPriority w:val="9"/>
    <w:qFormat/>
    <w:rsid w:val="007E1112"/>
    <w:pPr>
      <w:numPr>
        <w:ilvl w:val="6"/>
      </w:numPr>
      <w:tabs>
        <w:tab w:val="num" w:pos="2232"/>
      </w:tabs>
      <w:ind w:left="2880" w:right="2160"/>
      <w:outlineLvl w:val="6"/>
    </w:pPr>
  </w:style>
  <w:style w:type="paragraph" w:styleId="Heading8">
    <w:name w:val="heading 8"/>
    <w:basedOn w:val="Heading7"/>
    <w:next w:val="Single"/>
    <w:link w:val="Heading8Char"/>
    <w:uiPriority w:val="9"/>
    <w:qFormat/>
    <w:rsid w:val="007E1112"/>
    <w:pPr>
      <w:numPr>
        <w:ilvl w:val="7"/>
      </w:numPr>
      <w:tabs>
        <w:tab w:val="num" w:pos="2232"/>
      </w:tabs>
      <w:ind w:left="2880"/>
      <w:outlineLvl w:val="7"/>
    </w:pPr>
  </w:style>
  <w:style w:type="paragraph" w:styleId="Heading9">
    <w:name w:val="heading 9"/>
    <w:basedOn w:val="Heading8"/>
    <w:next w:val="Single"/>
    <w:link w:val="Heading9Char"/>
    <w:uiPriority w:val="9"/>
    <w:qFormat/>
    <w:rsid w:val="007E1112"/>
    <w:pPr>
      <w:numPr>
        <w:ilvl w:val="8"/>
      </w:numPr>
      <w:tabs>
        <w:tab w:val="num" w:pos="2232"/>
      </w:tabs>
      <w:ind w:left="28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118"/>
    <w:pPr>
      <w:ind w:left="720"/>
      <w:contextualSpacing/>
    </w:pPr>
  </w:style>
  <w:style w:type="paragraph" w:styleId="FootnoteText">
    <w:name w:val="footnote text"/>
    <w:basedOn w:val="Normal"/>
    <w:link w:val="FootnoteTextChar"/>
    <w:uiPriority w:val="99"/>
    <w:unhideWhenUsed/>
    <w:rsid w:val="007E1112"/>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7E1112"/>
    <w:rPr>
      <w:rFonts w:eastAsia="Times New Roman"/>
      <w:sz w:val="20"/>
      <w:szCs w:val="20"/>
    </w:rPr>
  </w:style>
  <w:style w:type="character" w:styleId="FootnoteReference">
    <w:name w:val="footnote reference"/>
    <w:basedOn w:val="DefaultParagraphFont"/>
    <w:uiPriority w:val="99"/>
    <w:semiHidden/>
    <w:unhideWhenUsed/>
    <w:rsid w:val="007E1112"/>
    <w:rPr>
      <w:rFonts w:cs="Times New Roman"/>
      <w:vertAlign w:val="superscript"/>
    </w:rPr>
  </w:style>
  <w:style w:type="character" w:customStyle="1" w:styleId="Heading1Char">
    <w:name w:val="Heading 1 Char"/>
    <w:basedOn w:val="DefaultParagraphFont"/>
    <w:link w:val="Heading1"/>
    <w:uiPriority w:val="9"/>
    <w:rsid w:val="007E1112"/>
    <w:rPr>
      <w:rFonts w:ascii="NewCenturySchlbk LT" w:eastAsia="Times New Roman" w:hAnsi="NewCenturySchlbk LT" w:cs="Times New Roman"/>
      <w:b/>
      <w:caps/>
      <w:sz w:val="24"/>
      <w:szCs w:val="20"/>
    </w:rPr>
  </w:style>
  <w:style w:type="character" w:customStyle="1" w:styleId="Heading2Char">
    <w:name w:val="Heading 2 Char"/>
    <w:basedOn w:val="DefaultParagraphFont"/>
    <w:link w:val="Heading2"/>
    <w:uiPriority w:val="9"/>
    <w:rsid w:val="007E1112"/>
    <w:rPr>
      <w:rFonts w:ascii="NewCenturySchlbk LT" w:eastAsia="Times New Roman" w:hAnsi="NewCenturySchlbk LT" w:cs="Times New Roman"/>
      <w:b/>
      <w:caps/>
      <w:sz w:val="24"/>
      <w:szCs w:val="20"/>
    </w:rPr>
  </w:style>
  <w:style w:type="character" w:customStyle="1" w:styleId="Heading3Char">
    <w:name w:val="Heading 3 Char"/>
    <w:basedOn w:val="DefaultParagraphFont"/>
    <w:link w:val="Heading3"/>
    <w:uiPriority w:val="9"/>
    <w:rsid w:val="007E1112"/>
    <w:rPr>
      <w:rFonts w:ascii="NewCenturySchlbk LT" w:eastAsia="Times New Roman" w:hAnsi="NewCenturySchlbk LT" w:cs="Times New Roman"/>
      <w:b/>
      <w:sz w:val="24"/>
      <w:szCs w:val="20"/>
    </w:rPr>
  </w:style>
  <w:style w:type="character" w:customStyle="1" w:styleId="Heading4Char">
    <w:name w:val="Heading 4 Char"/>
    <w:basedOn w:val="DefaultParagraphFont"/>
    <w:link w:val="Heading4"/>
    <w:uiPriority w:val="9"/>
    <w:rsid w:val="007E1112"/>
    <w:rPr>
      <w:rFonts w:ascii="NewCenturySchlbk LT" w:eastAsia="Times New Roman" w:hAnsi="NewCenturySchlbk LT" w:cs="Times New Roman"/>
      <w:b/>
      <w:sz w:val="24"/>
      <w:szCs w:val="20"/>
    </w:rPr>
  </w:style>
  <w:style w:type="character" w:customStyle="1" w:styleId="Heading5Char">
    <w:name w:val="Heading 5 Char"/>
    <w:basedOn w:val="DefaultParagraphFont"/>
    <w:link w:val="Heading5"/>
    <w:uiPriority w:val="9"/>
    <w:rsid w:val="007E1112"/>
    <w:rPr>
      <w:rFonts w:ascii="NewCenturySchlbk LT" w:eastAsia="Times New Roman" w:hAnsi="NewCenturySchlbk LT" w:cs="Times New Roman"/>
      <w:b/>
      <w:sz w:val="24"/>
      <w:szCs w:val="20"/>
    </w:rPr>
  </w:style>
  <w:style w:type="character" w:customStyle="1" w:styleId="Heading6Char">
    <w:name w:val="Heading 6 Char"/>
    <w:basedOn w:val="DefaultParagraphFont"/>
    <w:link w:val="Heading6"/>
    <w:uiPriority w:val="9"/>
    <w:rsid w:val="007E1112"/>
    <w:rPr>
      <w:rFonts w:ascii="NewCenturySchlbk LT" w:eastAsia="Times New Roman" w:hAnsi="NewCenturySchlbk LT" w:cs="Times New Roman"/>
      <w:b/>
      <w:sz w:val="24"/>
      <w:szCs w:val="20"/>
    </w:rPr>
  </w:style>
  <w:style w:type="character" w:customStyle="1" w:styleId="Heading7Char">
    <w:name w:val="Heading 7 Char"/>
    <w:basedOn w:val="DefaultParagraphFont"/>
    <w:link w:val="Heading7"/>
    <w:uiPriority w:val="9"/>
    <w:rsid w:val="007E1112"/>
    <w:rPr>
      <w:rFonts w:ascii="NewCenturySchlbk LT" w:eastAsia="Times New Roman" w:hAnsi="NewCenturySchlbk LT" w:cs="Times New Roman"/>
      <w:b/>
      <w:sz w:val="24"/>
      <w:szCs w:val="20"/>
    </w:rPr>
  </w:style>
  <w:style w:type="character" w:customStyle="1" w:styleId="Heading8Char">
    <w:name w:val="Heading 8 Char"/>
    <w:basedOn w:val="DefaultParagraphFont"/>
    <w:link w:val="Heading8"/>
    <w:uiPriority w:val="9"/>
    <w:rsid w:val="007E1112"/>
    <w:rPr>
      <w:rFonts w:ascii="NewCenturySchlbk LT" w:eastAsia="Times New Roman" w:hAnsi="NewCenturySchlbk LT" w:cs="Times New Roman"/>
      <w:b/>
      <w:sz w:val="24"/>
      <w:szCs w:val="20"/>
    </w:rPr>
  </w:style>
  <w:style w:type="character" w:customStyle="1" w:styleId="Heading9Char">
    <w:name w:val="Heading 9 Char"/>
    <w:basedOn w:val="DefaultParagraphFont"/>
    <w:link w:val="Heading9"/>
    <w:uiPriority w:val="9"/>
    <w:rsid w:val="007E1112"/>
    <w:rPr>
      <w:rFonts w:ascii="NewCenturySchlbk LT" w:eastAsia="Times New Roman" w:hAnsi="NewCenturySchlbk LT" w:cs="Times New Roman"/>
      <w:b/>
      <w:sz w:val="24"/>
      <w:szCs w:val="20"/>
    </w:rPr>
  </w:style>
  <w:style w:type="paragraph" w:customStyle="1" w:styleId="Single">
    <w:name w:val="Single"/>
    <w:basedOn w:val="Normal"/>
    <w:link w:val="SingleChar"/>
    <w:qFormat/>
    <w:rsid w:val="007E1112"/>
    <w:pPr>
      <w:overflowPunct w:val="0"/>
      <w:autoSpaceDE w:val="0"/>
      <w:autoSpaceDN w:val="0"/>
      <w:adjustRightInd w:val="0"/>
      <w:spacing w:after="120" w:line="280" w:lineRule="exact"/>
      <w:ind w:firstLine="432"/>
      <w:jc w:val="both"/>
      <w:textAlignment w:val="baseline"/>
    </w:pPr>
    <w:rPr>
      <w:rFonts w:ascii="NewCenturySchlbk LT" w:eastAsia="Times New Roman" w:hAnsi="NewCenturySchlbk LT" w:cs="Times New Roman"/>
      <w:sz w:val="24"/>
      <w:szCs w:val="20"/>
    </w:rPr>
  </w:style>
  <w:style w:type="paragraph" w:styleId="Footer">
    <w:name w:val="footer"/>
    <w:basedOn w:val="Normal"/>
    <w:link w:val="FooterChar"/>
    <w:uiPriority w:val="99"/>
    <w:rsid w:val="007E1112"/>
    <w:pPr>
      <w:tabs>
        <w:tab w:val="center" w:pos="4680"/>
        <w:tab w:val="right" w:pos="9360"/>
      </w:tabs>
      <w:overflowPunct w:val="0"/>
      <w:autoSpaceDE w:val="0"/>
      <w:autoSpaceDN w:val="0"/>
      <w:adjustRightInd w:val="0"/>
      <w:spacing w:after="0" w:line="240" w:lineRule="auto"/>
      <w:textAlignment w:val="baseline"/>
    </w:pPr>
    <w:rPr>
      <w:rFonts w:ascii="NewCenturySchlbk LT" w:eastAsia="Times New Roman" w:hAnsi="NewCenturySchlbk LT" w:cs="Times New Roman"/>
      <w:sz w:val="24"/>
      <w:szCs w:val="20"/>
    </w:rPr>
  </w:style>
  <w:style w:type="character" w:customStyle="1" w:styleId="FooterChar">
    <w:name w:val="Footer Char"/>
    <w:basedOn w:val="DefaultParagraphFont"/>
    <w:link w:val="Footer"/>
    <w:uiPriority w:val="99"/>
    <w:rsid w:val="007E1112"/>
    <w:rPr>
      <w:rFonts w:ascii="NewCenturySchlbk LT" w:eastAsia="Times New Roman" w:hAnsi="NewCenturySchlbk LT" w:cs="Times New Roman"/>
      <w:sz w:val="24"/>
      <w:szCs w:val="20"/>
    </w:rPr>
  </w:style>
  <w:style w:type="paragraph" w:styleId="Header">
    <w:name w:val="header"/>
    <w:basedOn w:val="Normal"/>
    <w:link w:val="HeaderChar"/>
    <w:uiPriority w:val="99"/>
    <w:rsid w:val="007E1112"/>
    <w:pPr>
      <w:tabs>
        <w:tab w:val="center" w:pos="4680"/>
        <w:tab w:val="right" w:pos="9360"/>
      </w:tabs>
      <w:overflowPunct w:val="0"/>
      <w:autoSpaceDE w:val="0"/>
      <w:autoSpaceDN w:val="0"/>
      <w:adjustRightInd w:val="0"/>
      <w:spacing w:after="0" w:line="240" w:lineRule="auto"/>
      <w:textAlignment w:val="baseline"/>
    </w:pPr>
    <w:rPr>
      <w:rFonts w:ascii="NewCenturySchlbk LT" w:eastAsia="Times New Roman" w:hAnsi="NewCenturySchlbk LT" w:cs="Times New Roman"/>
      <w:sz w:val="24"/>
      <w:szCs w:val="20"/>
    </w:rPr>
  </w:style>
  <w:style w:type="character" w:customStyle="1" w:styleId="HeaderChar">
    <w:name w:val="Header Char"/>
    <w:basedOn w:val="DefaultParagraphFont"/>
    <w:link w:val="Header"/>
    <w:uiPriority w:val="99"/>
    <w:rsid w:val="007E1112"/>
    <w:rPr>
      <w:rFonts w:ascii="NewCenturySchlbk LT" w:eastAsia="Times New Roman" w:hAnsi="NewCenturySchlbk LT" w:cs="Times New Roman"/>
      <w:sz w:val="24"/>
      <w:szCs w:val="20"/>
    </w:rPr>
  </w:style>
  <w:style w:type="paragraph" w:customStyle="1" w:styleId="SingleBlock">
    <w:name w:val="Single Block"/>
    <w:basedOn w:val="Single"/>
    <w:rsid w:val="007E1112"/>
    <w:pPr>
      <w:ind w:firstLine="0"/>
    </w:pPr>
  </w:style>
  <w:style w:type="paragraph" w:customStyle="1" w:styleId="SingleCenter">
    <w:name w:val="Single Center"/>
    <w:basedOn w:val="Single"/>
    <w:next w:val="Single"/>
    <w:rsid w:val="007E1112"/>
    <w:pPr>
      <w:ind w:firstLine="0"/>
      <w:jc w:val="center"/>
    </w:pPr>
  </w:style>
  <w:style w:type="character" w:styleId="PageNumber">
    <w:name w:val="page number"/>
    <w:basedOn w:val="DefaultParagraphFont"/>
    <w:uiPriority w:val="99"/>
    <w:rsid w:val="007E1112"/>
    <w:rPr>
      <w:rFonts w:ascii="NewCenturySchlbk LT" w:hAnsi="NewCenturySchlbk LT"/>
    </w:rPr>
  </w:style>
  <w:style w:type="paragraph" w:styleId="TOC1">
    <w:name w:val="toc 1"/>
    <w:basedOn w:val="Normal"/>
    <w:next w:val="Normal"/>
    <w:uiPriority w:val="39"/>
    <w:semiHidden/>
    <w:rsid w:val="007E1112"/>
    <w:pPr>
      <w:tabs>
        <w:tab w:val="right" w:leader="dot" w:pos="5932"/>
      </w:tabs>
      <w:overflowPunct w:val="0"/>
      <w:autoSpaceDE w:val="0"/>
      <w:autoSpaceDN w:val="0"/>
      <w:adjustRightInd w:val="0"/>
      <w:spacing w:before="120" w:after="0" w:line="260" w:lineRule="exact"/>
      <w:ind w:right="720"/>
      <w:textAlignment w:val="baseline"/>
    </w:pPr>
    <w:rPr>
      <w:rFonts w:ascii="NewCenturySchlbk LT" w:eastAsia="Times New Roman" w:hAnsi="NewCenturySchlbk LT" w:cs="Times New Roman"/>
      <w:b/>
      <w:color w:val="0000FF"/>
      <w:sz w:val="26"/>
      <w:szCs w:val="20"/>
    </w:rPr>
  </w:style>
  <w:style w:type="paragraph" w:styleId="TableofAuthorities">
    <w:name w:val="table of authorities"/>
    <w:basedOn w:val="Normal"/>
    <w:next w:val="Normal"/>
    <w:uiPriority w:val="99"/>
    <w:semiHidden/>
    <w:rsid w:val="007E1112"/>
    <w:pPr>
      <w:tabs>
        <w:tab w:val="right" w:leader="dot" w:pos="5932"/>
      </w:tabs>
      <w:overflowPunct w:val="0"/>
      <w:autoSpaceDE w:val="0"/>
      <w:autoSpaceDN w:val="0"/>
      <w:adjustRightInd w:val="0"/>
      <w:spacing w:after="0" w:line="240" w:lineRule="auto"/>
      <w:ind w:left="360" w:right="1238" w:hanging="360"/>
      <w:textAlignment w:val="baseline"/>
    </w:pPr>
    <w:rPr>
      <w:rFonts w:ascii="NewCenturySchlbk LT" w:eastAsia="Times New Roman" w:hAnsi="NewCenturySchlbk LT" w:cs="Times New Roman"/>
      <w:sz w:val="24"/>
      <w:szCs w:val="20"/>
    </w:rPr>
  </w:style>
  <w:style w:type="paragraph" w:customStyle="1" w:styleId="c">
    <w:name w:val="c"/>
    <w:basedOn w:val="Normal"/>
    <w:rsid w:val="007E1112"/>
    <w:pPr>
      <w:keepLines/>
      <w:overflowPunct w:val="0"/>
      <w:autoSpaceDE w:val="0"/>
      <w:autoSpaceDN w:val="0"/>
      <w:adjustRightInd w:val="0"/>
      <w:spacing w:after="0" w:line="-280" w:lineRule="auto"/>
      <w:jc w:val="center"/>
      <w:textAlignment w:val="baseline"/>
    </w:pPr>
    <w:rPr>
      <w:rFonts w:ascii="Courier" w:eastAsia="Times New Roman" w:hAnsi="Courier" w:cs="Times New Roman"/>
      <w:sz w:val="26"/>
      <w:szCs w:val="20"/>
    </w:rPr>
  </w:style>
  <w:style w:type="paragraph" w:customStyle="1" w:styleId="CourtVenue">
    <w:name w:val="Court Venue"/>
    <w:basedOn w:val="Normal"/>
    <w:rsid w:val="007E1112"/>
    <w:pPr>
      <w:overflowPunct w:val="0"/>
      <w:autoSpaceDE w:val="0"/>
      <w:autoSpaceDN w:val="0"/>
      <w:adjustRightInd w:val="0"/>
      <w:spacing w:after="0" w:line="240" w:lineRule="auto"/>
      <w:jc w:val="center"/>
      <w:textAlignment w:val="baseline"/>
    </w:pPr>
    <w:rPr>
      <w:rFonts w:ascii="Lincoln" w:eastAsia="Times New Roman" w:hAnsi="Lincoln" w:cs="Times New Roman"/>
      <w:sz w:val="40"/>
      <w:szCs w:val="40"/>
    </w:rPr>
  </w:style>
  <w:style w:type="character" w:customStyle="1" w:styleId="SingleChar">
    <w:name w:val="Single Char"/>
    <w:link w:val="Single"/>
    <w:locked/>
    <w:rsid w:val="007E1112"/>
    <w:rPr>
      <w:rFonts w:ascii="NewCenturySchlbk LT" w:eastAsia="Times New Roman" w:hAnsi="NewCenturySchlbk LT" w:cs="Times New Roman"/>
      <w:sz w:val="24"/>
      <w:szCs w:val="20"/>
    </w:rPr>
  </w:style>
  <w:style w:type="paragraph" w:styleId="TOAHeading">
    <w:name w:val="toa heading"/>
    <w:basedOn w:val="Normal"/>
    <w:next w:val="Normal"/>
    <w:uiPriority w:val="99"/>
    <w:semiHidden/>
    <w:rsid w:val="007E1112"/>
    <w:pPr>
      <w:overflowPunct w:val="0"/>
      <w:autoSpaceDE w:val="0"/>
      <w:autoSpaceDN w:val="0"/>
      <w:adjustRightInd w:val="0"/>
      <w:spacing w:before="120" w:after="0" w:line="240" w:lineRule="auto"/>
      <w:textAlignment w:val="baseline"/>
    </w:pPr>
    <w:rPr>
      <w:rFonts w:ascii="Arial" w:eastAsia="Times New Roman" w:hAnsi="Arial" w:cs="Arial"/>
      <w:b/>
      <w:bCs/>
      <w:sz w:val="24"/>
      <w:szCs w:val="24"/>
    </w:rPr>
  </w:style>
  <w:style w:type="character" w:styleId="CommentReference">
    <w:name w:val="annotation reference"/>
    <w:basedOn w:val="DefaultParagraphFont"/>
    <w:uiPriority w:val="99"/>
    <w:semiHidden/>
    <w:unhideWhenUsed/>
    <w:rsid w:val="006C39CA"/>
    <w:rPr>
      <w:sz w:val="16"/>
      <w:szCs w:val="16"/>
    </w:rPr>
  </w:style>
  <w:style w:type="paragraph" w:styleId="CommentText">
    <w:name w:val="annotation text"/>
    <w:basedOn w:val="Normal"/>
    <w:link w:val="CommentTextChar"/>
    <w:uiPriority w:val="99"/>
    <w:semiHidden/>
    <w:unhideWhenUsed/>
    <w:rsid w:val="006C39CA"/>
    <w:pPr>
      <w:spacing w:line="240" w:lineRule="auto"/>
    </w:pPr>
    <w:rPr>
      <w:sz w:val="20"/>
      <w:szCs w:val="20"/>
    </w:rPr>
  </w:style>
  <w:style w:type="character" w:customStyle="1" w:styleId="CommentTextChar">
    <w:name w:val="Comment Text Char"/>
    <w:basedOn w:val="DefaultParagraphFont"/>
    <w:link w:val="CommentText"/>
    <w:uiPriority w:val="99"/>
    <w:semiHidden/>
    <w:rsid w:val="006C39CA"/>
    <w:rPr>
      <w:sz w:val="20"/>
      <w:szCs w:val="20"/>
    </w:rPr>
  </w:style>
  <w:style w:type="paragraph" w:styleId="CommentSubject">
    <w:name w:val="annotation subject"/>
    <w:basedOn w:val="CommentText"/>
    <w:next w:val="CommentText"/>
    <w:link w:val="CommentSubjectChar"/>
    <w:uiPriority w:val="99"/>
    <w:semiHidden/>
    <w:unhideWhenUsed/>
    <w:rsid w:val="006C39CA"/>
    <w:rPr>
      <w:b/>
      <w:bCs/>
    </w:rPr>
  </w:style>
  <w:style w:type="character" w:customStyle="1" w:styleId="CommentSubjectChar">
    <w:name w:val="Comment Subject Char"/>
    <w:basedOn w:val="CommentTextChar"/>
    <w:link w:val="CommentSubject"/>
    <w:uiPriority w:val="99"/>
    <w:semiHidden/>
    <w:rsid w:val="006C39CA"/>
    <w:rPr>
      <w:b/>
      <w:bCs/>
      <w:sz w:val="20"/>
      <w:szCs w:val="20"/>
    </w:rPr>
  </w:style>
  <w:style w:type="paragraph" w:styleId="BalloonText">
    <w:name w:val="Balloon Text"/>
    <w:basedOn w:val="Normal"/>
    <w:link w:val="BalloonTextChar"/>
    <w:uiPriority w:val="99"/>
    <w:semiHidden/>
    <w:unhideWhenUsed/>
    <w:rsid w:val="006C3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9CA"/>
    <w:rPr>
      <w:rFonts w:ascii="Tahoma" w:hAnsi="Tahoma" w:cs="Tahoma"/>
      <w:sz w:val="16"/>
      <w:szCs w:val="16"/>
    </w:rPr>
  </w:style>
  <w:style w:type="character" w:customStyle="1" w:styleId="term1">
    <w:name w:val="term1"/>
    <w:basedOn w:val="DefaultParagraphFont"/>
    <w:rsid w:val="00721C20"/>
    <w:rPr>
      <w:rFonts w:cs="Times New Roman"/>
      <w:b/>
      <w:bCs/>
    </w:rPr>
  </w:style>
  <w:style w:type="character" w:styleId="Strong">
    <w:name w:val="Strong"/>
    <w:basedOn w:val="DefaultParagraphFont"/>
    <w:uiPriority w:val="22"/>
    <w:qFormat/>
    <w:rsid w:val="00E93228"/>
    <w:rPr>
      <w:b/>
      <w:bCs/>
    </w:rPr>
  </w:style>
  <w:style w:type="paragraph" w:styleId="NormalWeb">
    <w:name w:val="Normal (Web)"/>
    <w:basedOn w:val="Normal"/>
    <w:uiPriority w:val="99"/>
    <w:unhideWhenUsed/>
    <w:rsid w:val="00E93228"/>
    <w:pPr>
      <w:spacing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3228"/>
    <w:rPr>
      <w:color w:val="0000FF" w:themeColor="hyperlink"/>
      <w:u w:val="single"/>
    </w:rPr>
  </w:style>
  <w:style w:type="character" w:styleId="FollowedHyperlink">
    <w:name w:val="FollowedHyperlink"/>
    <w:basedOn w:val="DefaultParagraphFont"/>
    <w:uiPriority w:val="99"/>
    <w:semiHidden/>
    <w:unhideWhenUsed/>
    <w:rsid w:val="004476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07198">
      <w:bodyDiv w:val="1"/>
      <w:marLeft w:val="0"/>
      <w:marRight w:val="0"/>
      <w:marTop w:val="0"/>
      <w:marBottom w:val="0"/>
      <w:divBdr>
        <w:top w:val="none" w:sz="0" w:space="0" w:color="auto"/>
        <w:left w:val="none" w:sz="0" w:space="0" w:color="auto"/>
        <w:bottom w:val="none" w:sz="0" w:space="0" w:color="auto"/>
        <w:right w:val="none" w:sz="0" w:space="0" w:color="auto"/>
      </w:divBdr>
      <w:divsChild>
        <w:div w:id="1640189134">
          <w:marLeft w:val="0"/>
          <w:marRight w:val="0"/>
          <w:marTop w:val="0"/>
          <w:marBottom w:val="0"/>
          <w:divBdr>
            <w:top w:val="none" w:sz="0" w:space="0" w:color="auto"/>
            <w:left w:val="none" w:sz="0" w:space="0" w:color="auto"/>
            <w:bottom w:val="none" w:sz="0" w:space="0" w:color="auto"/>
            <w:right w:val="none" w:sz="0" w:space="0" w:color="auto"/>
          </w:divBdr>
          <w:divsChild>
            <w:div w:id="1830749717">
              <w:marLeft w:val="0"/>
              <w:marRight w:val="0"/>
              <w:marTop w:val="0"/>
              <w:marBottom w:val="0"/>
              <w:divBdr>
                <w:top w:val="none" w:sz="0" w:space="0" w:color="auto"/>
                <w:left w:val="none" w:sz="0" w:space="0" w:color="auto"/>
                <w:bottom w:val="none" w:sz="0" w:space="0" w:color="auto"/>
                <w:right w:val="none" w:sz="0" w:space="0" w:color="auto"/>
              </w:divBdr>
              <w:divsChild>
                <w:div w:id="1140533270">
                  <w:marLeft w:val="0"/>
                  <w:marRight w:val="0"/>
                  <w:marTop w:val="0"/>
                  <w:marBottom w:val="0"/>
                  <w:divBdr>
                    <w:top w:val="none" w:sz="0" w:space="0" w:color="auto"/>
                    <w:left w:val="none" w:sz="0" w:space="0" w:color="auto"/>
                    <w:bottom w:val="none" w:sz="0" w:space="0" w:color="auto"/>
                    <w:right w:val="none" w:sz="0" w:space="0" w:color="auto"/>
                  </w:divBdr>
                  <w:divsChild>
                    <w:div w:id="1747992345">
                      <w:marLeft w:val="2"/>
                      <w:marRight w:val="0"/>
                      <w:marTop w:val="0"/>
                      <w:marBottom w:val="0"/>
                      <w:divBdr>
                        <w:top w:val="none" w:sz="0" w:space="0" w:color="auto"/>
                        <w:left w:val="none" w:sz="0" w:space="0" w:color="auto"/>
                        <w:bottom w:val="none" w:sz="0" w:space="0" w:color="auto"/>
                        <w:right w:val="none" w:sz="0" w:space="0" w:color="auto"/>
                      </w:divBdr>
                      <w:divsChild>
                        <w:div w:id="1450707624">
                          <w:marLeft w:val="0"/>
                          <w:marRight w:val="0"/>
                          <w:marTop w:val="0"/>
                          <w:marBottom w:val="0"/>
                          <w:divBdr>
                            <w:top w:val="none" w:sz="0" w:space="0" w:color="auto"/>
                            <w:left w:val="none" w:sz="0" w:space="0" w:color="auto"/>
                            <w:bottom w:val="none" w:sz="0" w:space="0" w:color="auto"/>
                            <w:right w:val="none" w:sz="0" w:space="0" w:color="auto"/>
                          </w:divBdr>
                          <w:divsChild>
                            <w:div w:id="914781354">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632601">
      <w:bodyDiv w:val="1"/>
      <w:marLeft w:val="0"/>
      <w:marRight w:val="0"/>
      <w:marTop w:val="0"/>
      <w:marBottom w:val="0"/>
      <w:divBdr>
        <w:top w:val="none" w:sz="0" w:space="0" w:color="auto"/>
        <w:left w:val="none" w:sz="0" w:space="0" w:color="auto"/>
        <w:bottom w:val="none" w:sz="0" w:space="0" w:color="auto"/>
        <w:right w:val="none" w:sz="0" w:space="0" w:color="auto"/>
      </w:divBdr>
      <w:divsChild>
        <w:div w:id="1351184233">
          <w:marLeft w:val="0"/>
          <w:marRight w:val="0"/>
          <w:marTop w:val="0"/>
          <w:marBottom w:val="0"/>
          <w:divBdr>
            <w:top w:val="none" w:sz="0" w:space="0" w:color="auto"/>
            <w:left w:val="none" w:sz="0" w:space="0" w:color="auto"/>
            <w:bottom w:val="none" w:sz="0" w:space="0" w:color="auto"/>
            <w:right w:val="none" w:sz="0" w:space="0" w:color="auto"/>
          </w:divBdr>
          <w:divsChild>
            <w:div w:id="2049835207">
              <w:marLeft w:val="0"/>
              <w:marRight w:val="0"/>
              <w:marTop w:val="0"/>
              <w:marBottom w:val="0"/>
              <w:divBdr>
                <w:top w:val="none" w:sz="0" w:space="0" w:color="auto"/>
                <w:left w:val="none" w:sz="0" w:space="0" w:color="auto"/>
                <w:bottom w:val="none" w:sz="0" w:space="0" w:color="auto"/>
                <w:right w:val="none" w:sz="0" w:space="0" w:color="auto"/>
              </w:divBdr>
              <w:divsChild>
                <w:div w:id="878280185">
                  <w:marLeft w:val="0"/>
                  <w:marRight w:val="0"/>
                  <w:marTop w:val="0"/>
                  <w:marBottom w:val="0"/>
                  <w:divBdr>
                    <w:top w:val="none" w:sz="0" w:space="0" w:color="auto"/>
                    <w:left w:val="none" w:sz="0" w:space="0" w:color="auto"/>
                    <w:bottom w:val="none" w:sz="0" w:space="0" w:color="auto"/>
                    <w:right w:val="none" w:sz="0" w:space="0" w:color="auto"/>
                  </w:divBdr>
                  <w:divsChild>
                    <w:div w:id="2018535079">
                      <w:marLeft w:val="0"/>
                      <w:marRight w:val="0"/>
                      <w:marTop w:val="0"/>
                      <w:marBottom w:val="0"/>
                      <w:divBdr>
                        <w:top w:val="none" w:sz="0" w:space="0" w:color="auto"/>
                        <w:left w:val="none" w:sz="0" w:space="0" w:color="auto"/>
                        <w:bottom w:val="none" w:sz="0" w:space="0" w:color="auto"/>
                        <w:right w:val="none" w:sz="0" w:space="0" w:color="auto"/>
                      </w:divBdr>
                      <w:divsChild>
                        <w:div w:id="1175993101">
                          <w:marLeft w:val="0"/>
                          <w:marRight w:val="0"/>
                          <w:marTop w:val="0"/>
                          <w:marBottom w:val="0"/>
                          <w:divBdr>
                            <w:top w:val="none" w:sz="0" w:space="0" w:color="auto"/>
                            <w:left w:val="none" w:sz="0" w:space="0" w:color="auto"/>
                            <w:bottom w:val="none" w:sz="0" w:space="0" w:color="auto"/>
                            <w:right w:val="none" w:sz="0" w:space="0" w:color="auto"/>
                          </w:divBdr>
                          <w:divsChild>
                            <w:div w:id="842284385">
                              <w:marLeft w:val="0"/>
                              <w:marRight w:val="0"/>
                              <w:marTop w:val="0"/>
                              <w:marBottom w:val="0"/>
                              <w:divBdr>
                                <w:top w:val="none" w:sz="0" w:space="0" w:color="auto"/>
                                <w:left w:val="none" w:sz="0" w:space="0" w:color="auto"/>
                                <w:bottom w:val="none" w:sz="0" w:space="0" w:color="auto"/>
                                <w:right w:val="none" w:sz="0" w:space="0" w:color="auto"/>
                              </w:divBdr>
                              <w:divsChild>
                                <w:div w:id="1855029198">
                                  <w:marLeft w:val="0"/>
                                  <w:marRight w:val="0"/>
                                  <w:marTop w:val="0"/>
                                  <w:marBottom w:val="0"/>
                                  <w:divBdr>
                                    <w:top w:val="none" w:sz="0" w:space="0" w:color="auto"/>
                                    <w:left w:val="none" w:sz="0" w:space="0" w:color="auto"/>
                                    <w:bottom w:val="none" w:sz="0" w:space="0" w:color="auto"/>
                                    <w:right w:val="none" w:sz="0" w:space="0" w:color="auto"/>
                                  </w:divBdr>
                                  <w:divsChild>
                                    <w:div w:id="111755498">
                                      <w:marLeft w:val="0"/>
                                      <w:marRight w:val="0"/>
                                      <w:marTop w:val="0"/>
                                      <w:marBottom w:val="0"/>
                                      <w:divBdr>
                                        <w:top w:val="none" w:sz="0" w:space="0" w:color="auto"/>
                                        <w:left w:val="none" w:sz="0" w:space="0" w:color="auto"/>
                                        <w:bottom w:val="none" w:sz="0" w:space="0" w:color="auto"/>
                                        <w:right w:val="none" w:sz="0" w:space="0" w:color="auto"/>
                                      </w:divBdr>
                                      <w:divsChild>
                                        <w:div w:id="1477917784">
                                          <w:marLeft w:val="0"/>
                                          <w:marRight w:val="0"/>
                                          <w:marTop w:val="0"/>
                                          <w:marBottom w:val="0"/>
                                          <w:divBdr>
                                            <w:top w:val="none" w:sz="0" w:space="0" w:color="auto"/>
                                            <w:left w:val="none" w:sz="0" w:space="0" w:color="auto"/>
                                            <w:bottom w:val="none" w:sz="0" w:space="0" w:color="auto"/>
                                            <w:right w:val="none" w:sz="0" w:space="0" w:color="auto"/>
                                          </w:divBdr>
                                          <w:divsChild>
                                            <w:div w:id="156894160">
                                              <w:marLeft w:val="0"/>
                                              <w:marRight w:val="0"/>
                                              <w:marTop w:val="0"/>
                                              <w:marBottom w:val="0"/>
                                              <w:divBdr>
                                                <w:top w:val="none" w:sz="0" w:space="0" w:color="auto"/>
                                                <w:left w:val="none" w:sz="0" w:space="0" w:color="auto"/>
                                                <w:bottom w:val="none" w:sz="0" w:space="0" w:color="auto"/>
                                                <w:right w:val="none" w:sz="0" w:space="0" w:color="auto"/>
                                              </w:divBdr>
                                              <w:divsChild>
                                                <w:div w:id="739329449">
                                                  <w:marLeft w:val="0"/>
                                                  <w:marRight w:val="0"/>
                                                  <w:marTop w:val="0"/>
                                                  <w:marBottom w:val="0"/>
                                                  <w:divBdr>
                                                    <w:top w:val="none" w:sz="0" w:space="0" w:color="auto"/>
                                                    <w:left w:val="none" w:sz="0" w:space="0" w:color="auto"/>
                                                    <w:bottom w:val="none" w:sz="0" w:space="0" w:color="auto"/>
                                                    <w:right w:val="none" w:sz="0" w:space="0" w:color="auto"/>
                                                  </w:divBdr>
                                                  <w:divsChild>
                                                    <w:div w:id="434443463">
                                                      <w:marLeft w:val="0"/>
                                                      <w:marRight w:val="0"/>
                                                      <w:marTop w:val="0"/>
                                                      <w:marBottom w:val="0"/>
                                                      <w:divBdr>
                                                        <w:top w:val="none" w:sz="0" w:space="0" w:color="auto"/>
                                                        <w:left w:val="none" w:sz="0" w:space="0" w:color="auto"/>
                                                        <w:bottom w:val="none" w:sz="0" w:space="0" w:color="auto"/>
                                                        <w:right w:val="none" w:sz="0" w:space="0" w:color="auto"/>
                                                      </w:divBdr>
                                                      <w:divsChild>
                                                        <w:div w:id="1390104729">
                                                          <w:marLeft w:val="0"/>
                                                          <w:marRight w:val="0"/>
                                                          <w:marTop w:val="0"/>
                                                          <w:marBottom w:val="0"/>
                                                          <w:divBdr>
                                                            <w:top w:val="none" w:sz="0" w:space="0" w:color="auto"/>
                                                            <w:left w:val="none" w:sz="0" w:space="0" w:color="auto"/>
                                                            <w:bottom w:val="none" w:sz="0" w:space="0" w:color="auto"/>
                                                            <w:right w:val="none" w:sz="0" w:space="0" w:color="auto"/>
                                                          </w:divBdr>
                                                          <w:divsChild>
                                                            <w:div w:id="1475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6825529">
      <w:bodyDiv w:val="1"/>
      <w:marLeft w:val="0"/>
      <w:marRight w:val="0"/>
      <w:marTop w:val="0"/>
      <w:marBottom w:val="0"/>
      <w:divBdr>
        <w:top w:val="none" w:sz="0" w:space="0" w:color="auto"/>
        <w:left w:val="none" w:sz="0" w:space="0" w:color="auto"/>
        <w:bottom w:val="none" w:sz="0" w:space="0" w:color="auto"/>
        <w:right w:val="none" w:sz="0" w:space="0" w:color="auto"/>
      </w:divBdr>
      <w:divsChild>
        <w:div w:id="314652411">
          <w:marLeft w:val="0"/>
          <w:marRight w:val="0"/>
          <w:marTop w:val="0"/>
          <w:marBottom w:val="0"/>
          <w:divBdr>
            <w:top w:val="none" w:sz="0" w:space="0" w:color="auto"/>
            <w:left w:val="none" w:sz="0" w:space="0" w:color="auto"/>
            <w:bottom w:val="none" w:sz="0" w:space="0" w:color="auto"/>
            <w:right w:val="none" w:sz="0" w:space="0" w:color="auto"/>
          </w:divBdr>
          <w:divsChild>
            <w:div w:id="495346375">
              <w:marLeft w:val="0"/>
              <w:marRight w:val="0"/>
              <w:marTop w:val="0"/>
              <w:marBottom w:val="0"/>
              <w:divBdr>
                <w:top w:val="none" w:sz="0" w:space="0" w:color="auto"/>
                <w:left w:val="none" w:sz="0" w:space="0" w:color="auto"/>
                <w:bottom w:val="none" w:sz="0" w:space="0" w:color="auto"/>
                <w:right w:val="none" w:sz="0" w:space="0" w:color="auto"/>
              </w:divBdr>
              <w:divsChild>
                <w:div w:id="373652089">
                  <w:marLeft w:val="0"/>
                  <w:marRight w:val="0"/>
                  <w:marTop w:val="0"/>
                  <w:marBottom w:val="0"/>
                  <w:divBdr>
                    <w:top w:val="none" w:sz="0" w:space="0" w:color="auto"/>
                    <w:left w:val="none" w:sz="0" w:space="0" w:color="auto"/>
                    <w:bottom w:val="none" w:sz="0" w:space="0" w:color="auto"/>
                    <w:right w:val="none" w:sz="0" w:space="0" w:color="auto"/>
                  </w:divBdr>
                  <w:divsChild>
                    <w:div w:id="1305424777">
                      <w:marLeft w:val="0"/>
                      <w:marRight w:val="0"/>
                      <w:marTop w:val="0"/>
                      <w:marBottom w:val="0"/>
                      <w:divBdr>
                        <w:top w:val="none" w:sz="0" w:space="0" w:color="auto"/>
                        <w:left w:val="none" w:sz="0" w:space="0" w:color="auto"/>
                        <w:bottom w:val="none" w:sz="0" w:space="0" w:color="auto"/>
                        <w:right w:val="none" w:sz="0" w:space="0" w:color="auto"/>
                      </w:divBdr>
                      <w:divsChild>
                        <w:div w:id="83428394">
                          <w:marLeft w:val="0"/>
                          <w:marRight w:val="0"/>
                          <w:marTop w:val="0"/>
                          <w:marBottom w:val="0"/>
                          <w:divBdr>
                            <w:top w:val="none" w:sz="0" w:space="0" w:color="auto"/>
                            <w:left w:val="none" w:sz="0" w:space="0" w:color="auto"/>
                            <w:bottom w:val="none" w:sz="0" w:space="0" w:color="auto"/>
                            <w:right w:val="none" w:sz="0" w:space="0" w:color="auto"/>
                          </w:divBdr>
                          <w:divsChild>
                            <w:div w:id="11187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lexis.com/research/xlink?app=00075&amp;view=full&amp;searchtype=le&amp;search=286+U.S.+276%2520at%2520279"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lexis.com/research/xlink?app=00075&amp;view=full&amp;searchtype=le&amp;search=286+U.S.+276%2520at%252027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n.gov/dor/reference/files/ib32.pdf" TargetMode="External"/><Relationship Id="rId13" Type="http://schemas.openxmlformats.org/officeDocument/2006/relationships/hyperlink" Target="http://www.phila.gov/Revenue/individuals/taxes/Pages/EarningsTax.aspx" TargetMode="External"/><Relationship Id="rId3" Type="http://schemas.openxmlformats.org/officeDocument/2006/relationships/hyperlink" Target="http://taxfoundation.org/article/local-income-taxes-city-and-county-level-income-and-wage-taxes-continue-wane" TargetMode="External"/><Relationship Id="rId7" Type="http://schemas.openxmlformats.org/officeDocument/2006/relationships/hyperlink" Target="http://www.legislature.mi.gov/(S(mphllz55322neouolpmmk2ik))/mileg.aspx?page=getobject&amp;objectname=mcl-284-1964-2" TargetMode="External"/><Relationship Id="rId12" Type="http://schemas.openxmlformats.org/officeDocument/2006/relationships/hyperlink" Target="http://www.phila.gov/Revenue/businesses/taxes/Pages/WageTax.aspx" TargetMode="External"/><Relationship Id="rId2" Type="http://schemas.openxmlformats.org/officeDocument/2006/relationships/hyperlink" Target="http://en.wikipedia.org/wiki/Howard_County,_Maryland" TargetMode="External"/><Relationship Id="rId16" Type="http://schemas.openxmlformats.org/officeDocument/2006/relationships/hyperlink" Target="http://www.dhgllp.com/res_pubs/Protective-Refund-Claims.pdf" TargetMode="External"/><Relationship Id="rId1" Type="http://schemas.openxmlformats.org/officeDocument/2006/relationships/hyperlink" Target="http://money.cnn.com/magazines/moneymag/bplive/2010/snapshots/PL2419125.html" TargetMode="External"/><Relationship Id="rId6" Type="http://schemas.openxmlformats.org/officeDocument/2006/relationships/hyperlink" Target="http://www.ccatax.ci.cleveland.oh.us/Y2013/muniit.pdf" TargetMode="External"/><Relationship Id="rId11" Type="http://schemas.openxmlformats.org/officeDocument/2006/relationships/hyperlink" Target="http://www.wilmingtonde.gov/government/earnedincometax" TargetMode="External"/><Relationship Id="rId5" Type="http://schemas.openxmlformats.org/officeDocument/2006/relationships/hyperlink" Target="http://www.in.gov/dor/files/dn01.pdf" TargetMode="External"/><Relationship Id="rId15" Type="http://schemas.openxmlformats.org/officeDocument/2006/relationships/hyperlink" Target="http://www.mass.gov/dor/individuals/filing-and-payment-information/guide-to-personal-income-tax/credits/income-tax-paid-to-another-jurisdiction-credit.html" TargetMode="External"/><Relationship Id="rId10" Type="http://schemas.openxmlformats.org/officeDocument/2006/relationships/hyperlink" Target="http://www.slpl.lib.mo.us/cco/code/data/t0522.htm" TargetMode="External"/><Relationship Id="rId4" Type="http://schemas.openxmlformats.org/officeDocument/2006/relationships/hyperlink" Target="file:///C:\Users\cthompson\AppData\Local\Microsoft\Windows\Temporary%20Internet%20Files\Content.Outlook\4R998KGK\" TargetMode="External"/><Relationship Id="rId9" Type="http://schemas.openxmlformats.org/officeDocument/2006/relationships/hyperlink" Target="http://kcmo.org/idc/groups/finance/documents/finance/rd-109.pdf" TargetMode="External"/><Relationship Id="rId14" Type="http://schemas.openxmlformats.org/officeDocument/2006/relationships/hyperlink" Target="http://www.revenue.wi.gov/pubs/pb1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7BB5193-E72F-43A3-B13E-A57DEEF8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3553</Words>
  <Characters>20256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2014-01-09T18:27:00Z</dcterms:created>
  <dcterms:modified xsi:type="dcterms:W3CDTF">2014-01-09T18:27:00Z</dcterms:modified>
</cp:coreProperties>
</file>