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9C" w:rsidRDefault="00537D9C" w:rsidP="00537D9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304925" cy="1304925"/>
            <wp:effectExtent l="19050" t="0" r="9525" b="0"/>
            <wp:docPr id="1" name="Picture 1" descr="Colrlogot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rlogoti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9C" w:rsidRDefault="00537D9C" w:rsidP="00537D9C">
      <w:pPr>
        <w:jc w:val="center"/>
        <w:rPr>
          <w:noProof/>
        </w:rPr>
      </w:pPr>
    </w:p>
    <w:p w:rsidR="00537D9C" w:rsidRPr="00F37F3C" w:rsidRDefault="00537D9C" w:rsidP="00537D9C">
      <w:pPr>
        <w:jc w:val="center"/>
        <w:rPr>
          <w:rFonts w:ascii="Times" w:eastAsia="Times" w:hAnsi="Times"/>
          <w:b/>
          <w:color w:val="333399"/>
          <w:sz w:val="32"/>
          <w:szCs w:val="32"/>
          <w:u w:val="single"/>
        </w:rPr>
      </w:pPr>
      <w:r w:rsidRPr="00F37F3C">
        <w:rPr>
          <w:rFonts w:ascii="Times" w:eastAsia="Times" w:hAnsi="Times"/>
          <w:b/>
          <w:color w:val="333399"/>
          <w:sz w:val="32"/>
          <w:szCs w:val="32"/>
          <w:u w:val="single"/>
        </w:rPr>
        <w:t>Taking Parallel Paths to a Sustainable and Energy Efficient Community</w:t>
      </w:r>
    </w:p>
    <w:p w:rsidR="00537D9C" w:rsidRPr="00782744" w:rsidRDefault="00537D9C" w:rsidP="00537D9C">
      <w:pPr>
        <w:jc w:val="center"/>
        <w:rPr>
          <w:rFonts w:ascii="Times" w:eastAsia="Times" w:hAnsi="Times"/>
          <w:color w:val="333399"/>
          <w:sz w:val="32"/>
          <w:szCs w:val="32"/>
        </w:rPr>
      </w:pPr>
    </w:p>
    <w:p w:rsidR="00537D9C" w:rsidRDefault="00537D9C" w:rsidP="00537D9C">
      <w:pPr>
        <w:jc w:val="center"/>
        <w:rPr>
          <w:rFonts w:ascii="Times" w:eastAsia="Times" w:hAnsi="Times"/>
          <w:color w:val="333399"/>
          <w:sz w:val="28"/>
          <w:szCs w:val="28"/>
        </w:rPr>
      </w:pPr>
      <w:r>
        <w:rPr>
          <w:rFonts w:ascii="Times" w:eastAsia="Times" w:hAnsi="Times"/>
          <w:color w:val="333399"/>
          <w:sz w:val="28"/>
          <w:szCs w:val="28"/>
        </w:rPr>
        <w:t>A Case Study for Performance Excellence</w:t>
      </w:r>
    </w:p>
    <w:p w:rsidR="00537D9C" w:rsidRDefault="00537D9C" w:rsidP="00537D9C">
      <w:pPr>
        <w:jc w:val="center"/>
        <w:rPr>
          <w:rFonts w:ascii="Times" w:eastAsia="Times" w:hAnsi="Times"/>
          <w:color w:val="333399"/>
          <w:sz w:val="28"/>
          <w:szCs w:val="28"/>
        </w:rPr>
      </w:pPr>
      <w:r>
        <w:rPr>
          <w:rFonts w:ascii="Times" w:eastAsia="Times" w:hAnsi="Times"/>
          <w:color w:val="333399"/>
          <w:sz w:val="28"/>
          <w:szCs w:val="28"/>
        </w:rPr>
        <w:t>Manatee County, Florida</w:t>
      </w:r>
    </w:p>
    <w:p w:rsidR="00537D9C" w:rsidRDefault="00537D9C" w:rsidP="00537D9C">
      <w:pPr>
        <w:jc w:val="center"/>
        <w:rPr>
          <w:rFonts w:ascii="Times" w:eastAsia="Times" w:hAnsi="Times"/>
          <w:color w:val="333399"/>
          <w:sz w:val="28"/>
          <w:szCs w:val="28"/>
        </w:rPr>
      </w:pPr>
      <w:r>
        <w:rPr>
          <w:rFonts w:ascii="Times" w:eastAsia="Times" w:hAnsi="Times"/>
          <w:color w:val="333399"/>
          <w:sz w:val="28"/>
          <w:szCs w:val="28"/>
        </w:rPr>
        <w:t>Population 318,361</w:t>
      </w:r>
    </w:p>
    <w:p w:rsidR="00537D9C" w:rsidRDefault="00537D9C" w:rsidP="00537D9C">
      <w:pPr>
        <w:jc w:val="center"/>
        <w:rPr>
          <w:rFonts w:ascii="Times" w:eastAsia="Times" w:hAnsi="Times"/>
          <w:color w:val="333399"/>
          <w:sz w:val="28"/>
          <w:szCs w:val="28"/>
        </w:rPr>
      </w:pPr>
      <w:r>
        <w:rPr>
          <w:rFonts w:ascii="Times" w:eastAsia="Times" w:hAnsi="Times"/>
          <w:color w:val="333399"/>
          <w:sz w:val="28"/>
          <w:szCs w:val="28"/>
        </w:rPr>
        <w:t xml:space="preserve">Ed </w:t>
      </w:r>
      <w:proofErr w:type="spellStart"/>
      <w:r>
        <w:rPr>
          <w:rFonts w:ascii="Times" w:eastAsia="Times" w:hAnsi="Times"/>
          <w:color w:val="333399"/>
          <w:sz w:val="28"/>
          <w:szCs w:val="28"/>
        </w:rPr>
        <w:t>Hunzeker</w:t>
      </w:r>
      <w:proofErr w:type="spellEnd"/>
      <w:r>
        <w:rPr>
          <w:rFonts w:ascii="Times" w:eastAsia="Times" w:hAnsi="Times"/>
          <w:color w:val="333399"/>
          <w:sz w:val="28"/>
          <w:szCs w:val="28"/>
        </w:rPr>
        <w:t>, Manatee County Administrator</w:t>
      </w:r>
    </w:p>
    <w:p w:rsidR="00537D9C" w:rsidRDefault="00537D9C" w:rsidP="00537D9C">
      <w:pPr>
        <w:jc w:val="center"/>
        <w:rPr>
          <w:rFonts w:ascii="Times" w:eastAsia="Times" w:hAnsi="Times"/>
          <w:color w:val="333399"/>
          <w:sz w:val="28"/>
          <w:szCs w:val="28"/>
        </w:rPr>
      </w:pPr>
      <w:r>
        <w:rPr>
          <w:rFonts w:ascii="Times" w:eastAsia="Times" w:hAnsi="Times"/>
          <w:color w:val="333399"/>
          <w:sz w:val="28"/>
          <w:szCs w:val="28"/>
        </w:rPr>
        <w:t>Application Consideration for Innovation Award</w:t>
      </w:r>
    </w:p>
    <w:p w:rsidR="00537D9C" w:rsidRDefault="00537D9C" w:rsidP="00537D9C">
      <w:pPr>
        <w:jc w:val="center"/>
        <w:rPr>
          <w:rFonts w:ascii="Times" w:eastAsia="Times" w:hAnsi="Times"/>
          <w:color w:val="333399"/>
          <w:sz w:val="28"/>
          <w:szCs w:val="28"/>
        </w:rPr>
      </w:pPr>
      <w:r>
        <w:rPr>
          <w:rFonts w:ascii="Times" w:eastAsia="Times" w:hAnsi="Times"/>
          <w:color w:val="333399"/>
          <w:sz w:val="28"/>
          <w:szCs w:val="28"/>
        </w:rPr>
        <w:t>Application Consideration for Rapid Fire Session</w:t>
      </w:r>
    </w:p>
    <w:p w:rsidR="00537D9C" w:rsidRDefault="00537D9C" w:rsidP="00537D9C">
      <w:pPr>
        <w:jc w:val="center"/>
        <w:rPr>
          <w:rFonts w:ascii="Times" w:eastAsia="Times" w:hAnsi="Times"/>
          <w:color w:val="333399"/>
          <w:sz w:val="28"/>
          <w:szCs w:val="28"/>
        </w:rPr>
      </w:pPr>
    </w:p>
    <w:p w:rsidR="00537D9C" w:rsidRPr="00782744" w:rsidRDefault="00537D9C" w:rsidP="00537D9C">
      <w:pPr>
        <w:jc w:val="center"/>
        <w:rPr>
          <w:rFonts w:ascii="Times" w:eastAsia="Times" w:hAnsi="Times"/>
          <w:color w:val="333399"/>
          <w:sz w:val="28"/>
          <w:szCs w:val="28"/>
          <w:u w:val="single"/>
        </w:rPr>
      </w:pPr>
      <w:r w:rsidRPr="00782744">
        <w:rPr>
          <w:rFonts w:ascii="Times" w:eastAsia="Times" w:hAnsi="Times"/>
          <w:color w:val="333399"/>
          <w:sz w:val="28"/>
          <w:szCs w:val="28"/>
          <w:u w:val="single"/>
        </w:rPr>
        <w:t>Project Leader</w:t>
      </w:r>
    </w:p>
    <w:p w:rsidR="00537D9C" w:rsidRDefault="00537D9C" w:rsidP="00537D9C">
      <w:pPr>
        <w:jc w:val="center"/>
        <w:rPr>
          <w:rFonts w:ascii="Times" w:eastAsia="Times" w:hAnsi="Times"/>
          <w:color w:val="333399"/>
          <w:sz w:val="28"/>
          <w:szCs w:val="28"/>
        </w:rPr>
      </w:pPr>
      <w:r>
        <w:rPr>
          <w:rFonts w:ascii="Times" w:eastAsia="Times" w:hAnsi="Times"/>
          <w:color w:val="333399"/>
          <w:sz w:val="28"/>
          <w:szCs w:val="28"/>
        </w:rPr>
        <w:t>David Thompson, Building Services Division Manager</w:t>
      </w:r>
    </w:p>
    <w:p w:rsidR="00537D9C" w:rsidRDefault="00537D9C" w:rsidP="00537D9C">
      <w:pPr>
        <w:jc w:val="center"/>
        <w:rPr>
          <w:rFonts w:ascii="Times" w:eastAsia="Times" w:hAnsi="Times"/>
          <w:color w:val="333399"/>
          <w:sz w:val="28"/>
          <w:szCs w:val="28"/>
        </w:rPr>
      </w:pPr>
      <w:r>
        <w:rPr>
          <w:rFonts w:ascii="Times" w:eastAsia="Times" w:hAnsi="Times"/>
          <w:color w:val="333399"/>
          <w:sz w:val="28"/>
          <w:szCs w:val="28"/>
        </w:rPr>
        <w:t>Phone Number: 941-749-3016</w:t>
      </w:r>
    </w:p>
    <w:p w:rsidR="00537D9C" w:rsidRDefault="00537D9C" w:rsidP="00537D9C">
      <w:pPr>
        <w:jc w:val="center"/>
        <w:rPr>
          <w:rFonts w:ascii="Times" w:eastAsia="Times" w:hAnsi="Times"/>
          <w:color w:val="333399"/>
          <w:sz w:val="28"/>
          <w:szCs w:val="28"/>
        </w:rPr>
      </w:pPr>
      <w:r>
        <w:rPr>
          <w:rFonts w:ascii="Times" w:eastAsia="Times" w:hAnsi="Times"/>
          <w:color w:val="333399"/>
          <w:sz w:val="28"/>
          <w:szCs w:val="28"/>
        </w:rPr>
        <w:t>Email: david.thompson@mymanatee.org</w:t>
      </w:r>
    </w:p>
    <w:p w:rsidR="00537D9C" w:rsidRPr="00445B79" w:rsidRDefault="00537D9C" w:rsidP="00537D9C">
      <w:pPr>
        <w:jc w:val="center"/>
        <w:rPr>
          <w:rFonts w:ascii="Times" w:eastAsia="Times" w:hAnsi="Times"/>
          <w:color w:val="333399"/>
          <w:sz w:val="28"/>
          <w:szCs w:val="28"/>
        </w:rPr>
      </w:pPr>
      <w:r>
        <w:rPr>
          <w:rFonts w:ascii="Times" w:eastAsia="Times" w:hAnsi="Times"/>
          <w:color w:val="333399"/>
          <w:sz w:val="28"/>
          <w:szCs w:val="28"/>
        </w:rPr>
        <w:t>Address: 1002 Manatee Avenue West, Bradenton, FL  34205</w:t>
      </w:r>
    </w:p>
    <w:p w:rsidR="00537D9C" w:rsidRDefault="00537D9C" w:rsidP="009A4CE5">
      <w:pPr>
        <w:pStyle w:val="Header"/>
        <w:jc w:val="center"/>
        <w:rPr>
          <w:sz w:val="48"/>
          <w:szCs w:val="48"/>
        </w:rPr>
      </w:pPr>
    </w:p>
    <w:p w:rsidR="00537D9C" w:rsidRDefault="00537D9C" w:rsidP="00537D9C">
      <w:pPr>
        <w:pStyle w:val="Header"/>
        <w:rPr>
          <w:sz w:val="48"/>
          <w:szCs w:val="48"/>
        </w:rPr>
      </w:pPr>
    </w:p>
    <w:p w:rsidR="008E5225" w:rsidRPr="00097636" w:rsidRDefault="008E5225" w:rsidP="00537D9C">
      <w:pPr>
        <w:pStyle w:val="Header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drawing>
          <wp:inline distT="0" distB="0" distL="0" distR="0">
            <wp:extent cx="671195" cy="671195"/>
            <wp:effectExtent l="19050" t="0" r="0" b="0"/>
            <wp:docPr id="6" name="Picture 1" descr="Colrlogot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rlogoti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225" w:rsidRPr="00097636" w:rsidRDefault="008E5225" w:rsidP="009A4CE5">
      <w:pPr>
        <w:pStyle w:val="Header"/>
        <w:tabs>
          <w:tab w:val="clear" w:pos="4320"/>
          <w:tab w:val="clear" w:pos="8640"/>
        </w:tabs>
        <w:jc w:val="center"/>
        <w:rPr>
          <w:color w:val="333399"/>
          <w:sz w:val="32"/>
          <w:szCs w:val="32"/>
        </w:rPr>
      </w:pPr>
      <w:r w:rsidRPr="00097636">
        <w:rPr>
          <w:color w:val="333399"/>
          <w:sz w:val="32"/>
          <w:szCs w:val="32"/>
        </w:rPr>
        <w:t>MANATEE COUNTY</w:t>
      </w:r>
    </w:p>
    <w:p w:rsidR="008E5225" w:rsidRPr="00097636" w:rsidRDefault="008E5225" w:rsidP="009A4CE5">
      <w:pPr>
        <w:pStyle w:val="Header"/>
        <w:tabs>
          <w:tab w:val="clear" w:pos="4320"/>
          <w:tab w:val="clear" w:pos="8640"/>
        </w:tabs>
        <w:jc w:val="center"/>
        <w:rPr>
          <w:color w:val="333399"/>
          <w:sz w:val="32"/>
          <w:szCs w:val="32"/>
        </w:rPr>
      </w:pPr>
      <w:r w:rsidRPr="00097636">
        <w:rPr>
          <w:color w:val="333399"/>
          <w:sz w:val="32"/>
          <w:szCs w:val="32"/>
        </w:rPr>
        <w:t>FLORIDA</w:t>
      </w:r>
    </w:p>
    <w:p w:rsidR="008E5225" w:rsidRPr="00097636" w:rsidRDefault="008E5225" w:rsidP="009A4CE5">
      <w:pPr>
        <w:tabs>
          <w:tab w:val="left" w:pos="584"/>
          <w:tab w:val="left" w:pos="5735"/>
        </w:tabs>
        <w:spacing w:after="0" w:line="240" w:lineRule="auto"/>
        <w:ind w:left="-2358"/>
      </w:pPr>
      <w:r w:rsidRPr="00097636">
        <w:tab/>
      </w:r>
    </w:p>
    <w:p w:rsidR="008E5225" w:rsidRPr="008E5225" w:rsidRDefault="008E5225" w:rsidP="008E5225">
      <w:pPr>
        <w:spacing w:after="0" w:line="240" w:lineRule="auto"/>
        <w:rPr>
          <w:rFonts w:ascii="Times" w:eastAsia="Times" w:hAnsi="Times"/>
          <w:color w:val="333399"/>
          <w:sz w:val="20"/>
          <w:szCs w:val="20"/>
        </w:rPr>
      </w:pPr>
      <w:r w:rsidRPr="008E5225">
        <w:rPr>
          <w:rFonts w:ascii="Times" w:eastAsia="Times" w:hAnsi="Times"/>
          <w:color w:val="333399"/>
          <w:sz w:val="20"/>
          <w:szCs w:val="20"/>
        </w:rPr>
        <w:t>Property Management</w:t>
      </w:r>
      <w:r w:rsidRPr="008E5225">
        <w:rPr>
          <w:rFonts w:ascii="Times" w:eastAsia="Times" w:hAnsi="Times"/>
          <w:color w:val="333399"/>
          <w:sz w:val="20"/>
          <w:szCs w:val="20"/>
        </w:rPr>
        <w:tab/>
      </w:r>
      <w:r w:rsidRPr="008E5225">
        <w:rPr>
          <w:rFonts w:ascii="Times" w:eastAsia="Times" w:hAnsi="Times"/>
          <w:color w:val="333399"/>
          <w:sz w:val="20"/>
          <w:szCs w:val="20"/>
        </w:rPr>
        <w:tab/>
      </w:r>
      <w:r w:rsidRPr="008E5225">
        <w:rPr>
          <w:rFonts w:ascii="Times" w:eastAsia="Times" w:hAnsi="Times"/>
          <w:color w:val="333399"/>
          <w:sz w:val="20"/>
          <w:szCs w:val="20"/>
        </w:rPr>
        <w:tab/>
      </w:r>
      <w:r w:rsidRPr="008E5225">
        <w:rPr>
          <w:rFonts w:ascii="Times" w:eastAsia="Times" w:hAnsi="Times"/>
          <w:color w:val="333399"/>
          <w:sz w:val="20"/>
          <w:szCs w:val="20"/>
        </w:rPr>
        <w:tab/>
      </w:r>
      <w:r w:rsidRPr="008E5225">
        <w:rPr>
          <w:rFonts w:ascii="Times" w:eastAsia="Times" w:hAnsi="Times"/>
          <w:color w:val="333399"/>
          <w:sz w:val="20"/>
          <w:szCs w:val="20"/>
        </w:rPr>
        <w:tab/>
      </w:r>
      <w:r w:rsidRPr="008E5225">
        <w:rPr>
          <w:rFonts w:ascii="Times" w:eastAsia="Times" w:hAnsi="Times"/>
          <w:color w:val="333399"/>
          <w:sz w:val="20"/>
          <w:szCs w:val="20"/>
        </w:rPr>
        <w:tab/>
      </w:r>
      <w:r w:rsidRPr="008E5225">
        <w:rPr>
          <w:rFonts w:ascii="Times" w:eastAsia="Times" w:hAnsi="Times"/>
          <w:color w:val="333399"/>
          <w:sz w:val="20"/>
          <w:szCs w:val="20"/>
        </w:rPr>
        <w:tab/>
      </w:r>
      <w:r w:rsidRPr="008E5225">
        <w:rPr>
          <w:rFonts w:ascii="Times" w:eastAsia="Times" w:hAnsi="Times"/>
          <w:color w:val="333399"/>
          <w:sz w:val="20"/>
          <w:szCs w:val="20"/>
        </w:rPr>
        <w:tab/>
        <w:t>Phone: 941.749.3017</w:t>
      </w:r>
    </w:p>
    <w:p w:rsidR="008E5225" w:rsidRPr="008E5225" w:rsidRDefault="008E5225" w:rsidP="008E5225">
      <w:pPr>
        <w:spacing w:after="0" w:line="240" w:lineRule="auto"/>
        <w:jc w:val="center"/>
        <w:rPr>
          <w:rFonts w:ascii="Times" w:eastAsia="Times" w:hAnsi="Times"/>
          <w:color w:val="333399"/>
          <w:sz w:val="20"/>
          <w:szCs w:val="20"/>
        </w:rPr>
      </w:pPr>
      <w:r w:rsidRPr="008E5225">
        <w:rPr>
          <w:rFonts w:ascii="Times" w:eastAsia="Times" w:hAnsi="Times"/>
          <w:color w:val="333399"/>
          <w:sz w:val="20"/>
          <w:szCs w:val="20"/>
        </w:rPr>
        <w:t>1112 Manatee Ave. W., Ste. 802</w:t>
      </w:r>
      <w:r w:rsidRPr="008E5225">
        <w:rPr>
          <w:rFonts w:ascii="Times" w:eastAsia="Times" w:hAnsi="Times"/>
          <w:color w:val="333399"/>
          <w:sz w:val="20"/>
          <w:szCs w:val="20"/>
        </w:rPr>
        <w:tab/>
      </w:r>
      <w:r w:rsidRPr="008E5225">
        <w:rPr>
          <w:rFonts w:ascii="Times" w:eastAsia="Times" w:hAnsi="Times"/>
          <w:color w:val="333399"/>
          <w:sz w:val="20"/>
          <w:szCs w:val="20"/>
        </w:rPr>
        <w:tab/>
      </w:r>
      <w:r w:rsidRPr="008E5225">
        <w:rPr>
          <w:rFonts w:ascii="Times" w:eastAsia="Times" w:hAnsi="Times"/>
          <w:color w:val="333399"/>
          <w:sz w:val="20"/>
          <w:szCs w:val="20"/>
        </w:rPr>
        <w:tab/>
      </w:r>
      <w:r w:rsidRPr="008E5225">
        <w:rPr>
          <w:rFonts w:ascii="Times" w:eastAsia="Times" w:hAnsi="Times"/>
          <w:color w:val="333399"/>
          <w:sz w:val="20"/>
          <w:szCs w:val="20"/>
        </w:rPr>
        <w:tab/>
      </w:r>
      <w:r w:rsidRPr="008E5225">
        <w:rPr>
          <w:rFonts w:ascii="Times" w:eastAsia="Times" w:hAnsi="Times"/>
          <w:color w:val="333399"/>
          <w:sz w:val="20"/>
          <w:szCs w:val="20"/>
        </w:rPr>
        <w:tab/>
      </w:r>
      <w:r w:rsidRPr="008E5225">
        <w:rPr>
          <w:rFonts w:ascii="Times" w:eastAsia="Times" w:hAnsi="Times"/>
          <w:color w:val="333399"/>
          <w:sz w:val="20"/>
          <w:szCs w:val="20"/>
        </w:rPr>
        <w:tab/>
      </w:r>
      <w:r w:rsidRPr="008E5225">
        <w:rPr>
          <w:rFonts w:ascii="Times" w:eastAsia="Times" w:hAnsi="Times"/>
          <w:color w:val="333399"/>
          <w:sz w:val="20"/>
          <w:szCs w:val="20"/>
        </w:rPr>
        <w:tab/>
        <w:t>Fax: 941.742.5880</w:t>
      </w:r>
      <w:r w:rsidRPr="008E5225">
        <w:rPr>
          <w:rFonts w:ascii="Times" w:eastAsia="Times" w:hAnsi="Times"/>
          <w:color w:val="333399"/>
          <w:sz w:val="20"/>
          <w:szCs w:val="20"/>
        </w:rPr>
        <w:tab/>
      </w:r>
    </w:p>
    <w:p w:rsidR="008E5225" w:rsidRPr="008E5225" w:rsidRDefault="008E5225" w:rsidP="00FD48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E5225">
        <w:rPr>
          <w:rFonts w:ascii="Times" w:eastAsia="Times" w:hAnsi="Times"/>
          <w:color w:val="333399"/>
          <w:sz w:val="20"/>
          <w:szCs w:val="20"/>
        </w:rPr>
        <w:t>Bradenton, FL 34205</w:t>
      </w:r>
      <w:r w:rsidRPr="008E5225">
        <w:rPr>
          <w:rFonts w:ascii="Times" w:eastAsia="Times" w:hAnsi="Times"/>
          <w:color w:val="333399"/>
          <w:sz w:val="20"/>
          <w:szCs w:val="20"/>
        </w:rPr>
        <w:tab/>
      </w:r>
      <w:r w:rsidRPr="008E5225">
        <w:rPr>
          <w:rFonts w:ascii="Times" w:eastAsia="Times" w:hAnsi="Times"/>
          <w:color w:val="333399"/>
          <w:sz w:val="20"/>
          <w:szCs w:val="20"/>
        </w:rPr>
        <w:tab/>
      </w:r>
      <w:r w:rsidRPr="008E5225">
        <w:rPr>
          <w:rFonts w:ascii="Times" w:eastAsia="Times" w:hAnsi="Times"/>
          <w:color w:val="333399"/>
          <w:sz w:val="20"/>
          <w:szCs w:val="20"/>
        </w:rPr>
        <w:tab/>
      </w:r>
      <w:r w:rsidRPr="008E5225">
        <w:rPr>
          <w:rFonts w:ascii="Times" w:eastAsia="Times" w:hAnsi="Times"/>
          <w:color w:val="333399"/>
          <w:sz w:val="20"/>
          <w:szCs w:val="20"/>
        </w:rPr>
        <w:tab/>
      </w:r>
      <w:r w:rsidRPr="008E5225">
        <w:rPr>
          <w:rFonts w:ascii="Times" w:eastAsia="Times" w:hAnsi="Times"/>
          <w:color w:val="333399"/>
          <w:sz w:val="20"/>
          <w:szCs w:val="20"/>
        </w:rPr>
        <w:tab/>
      </w:r>
      <w:r w:rsidRPr="008E5225">
        <w:rPr>
          <w:rFonts w:ascii="Times" w:eastAsia="Times" w:hAnsi="Times"/>
          <w:color w:val="333399"/>
          <w:sz w:val="20"/>
          <w:szCs w:val="20"/>
        </w:rPr>
        <w:tab/>
      </w:r>
      <w:r w:rsidRPr="008E5225">
        <w:rPr>
          <w:rFonts w:ascii="Times" w:eastAsia="Times" w:hAnsi="Times"/>
          <w:color w:val="333399"/>
          <w:sz w:val="20"/>
          <w:szCs w:val="20"/>
        </w:rPr>
        <w:tab/>
      </w:r>
      <w:r w:rsidRPr="008E5225">
        <w:rPr>
          <w:rFonts w:ascii="Times" w:eastAsia="Times" w:hAnsi="Times"/>
          <w:color w:val="333399"/>
          <w:sz w:val="20"/>
          <w:szCs w:val="20"/>
        </w:rPr>
        <w:tab/>
        <w:t>www.mymanatee.org</w:t>
      </w:r>
      <w:r w:rsidRPr="0074643B">
        <w:rPr>
          <w:rFonts w:ascii="Arial" w:hAnsi="Arial" w:cs="Arial"/>
          <w:b/>
          <w:i/>
          <w:sz w:val="18"/>
          <w:szCs w:val="18"/>
        </w:rPr>
        <w:tab/>
      </w:r>
      <w:r w:rsidRPr="007464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A59C3" w:rsidRDefault="003A59C3" w:rsidP="003A59C3">
      <w:pPr>
        <w:spacing w:after="0" w:line="240" w:lineRule="auto"/>
        <w:jc w:val="center"/>
        <w:rPr>
          <w:rFonts w:ascii="Times" w:eastAsia="Times" w:hAnsi="Times"/>
          <w:color w:val="333399"/>
          <w:sz w:val="24"/>
          <w:szCs w:val="24"/>
        </w:rPr>
      </w:pPr>
      <w:r w:rsidRPr="009A4CE5">
        <w:rPr>
          <w:rFonts w:ascii="Times" w:eastAsia="Times" w:hAnsi="Times"/>
          <w:color w:val="333399"/>
          <w:sz w:val="24"/>
          <w:szCs w:val="24"/>
        </w:rPr>
        <w:t>Case Study Synopsis</w:t>
      </w:r>
    </w:p>
    <w:p w:rsidR="008E5225" w:rsidRPr="009A4CE5" w:rsidRDefault="008E5225" w:rsidP="009A4CE5">
      <w:pPr>
        <w:spacing w:after="0" w:line="240" w:lineRule="auto"/>
        <w:jc w:val="center"/>
        <w:rPr>
          <w:rFonts w:ascii="Times" w:eastAsia="Times" w:hAnsi="Times"/>
          <w:color w:val="333399"/>
          <w:sz w:val="24"/>
          <w:szCs w:val="24"/>
        </w:rPr>
      </w:pPr>
      <w:r w:rsidRPr="009A4CE5">
        <w:rPr>
          <w:rFonts w:ascii="Times" w:eastAsia="Times" w:hAnsi="Times"/>
          <w:color w:val="333399"/>
          <w:sz w:val="24"/>
          <w:szCs w:val="24"/>
        </w:rPr>
        <w:t xml:space="preserve">Alliance </w:t>
      </w:r>
      <w:r w:rsidR="000765B6">
        <w:rPr>
          <w:rFonts w:ascii="Times" w:eastAsia="Times" w:hAnsi="Times"/>
          <w:color w:val="333399"/>
          <w:sz w:val="24"/>
          <w:szCs w:val="24"/>
        </w:rPr>
        <w:t>For</w:t>
      </w:r>
      <w:r w:rsidRPr="009A4CE5">
        <w:rPr>
          <w:rFonts w:ascii="Times" w:eastAsia="Times" w:hAnsi="Times"/>
          <w:color w:val="333399"/>
          <w:sz w:val="24"/>
          <w:szCs w:val="24"/>
        </w:rPr>
        <w:t xml:space="preserve"> Innovation</w:t>
      </w:r>
      <w:r w:rsidR="007510D1">
        <w:rPr>
          <w:rFonts w:ascii="Times" w:eastAsia="Times" w:hAnsi="Times"/>
          <w:color w:val="333399"/>
          <w:sz w:val="24"/>
          <w:szCs w:val="24"/>
        </w:rPr>
        <w:t xml:space="preserve"> Forum</w:t>
      </w:r>
    </w:p>
    <w:p w:rsidR="008E5225" w:rsidRDefault="008E5225" w:rsidP="00537D9C">
      <w:pPr>
        <w:spacing w:after="0" w:line="240" w:lineRule="auto"/>
        <w:jc w:val="center"/>
        <w:rPr>
          <w:rFonts w:ascii="Times" w:eastAsia="Times" w:hAnsi="Times"/>
          <w:color w:val="333399"/>
          <w:sz w:val="24"/>
          <w:szCs w:val="24"/>
        </w:rPr>
      </w:pPr>
      <w:r>
        <w:rPr>
          <w:rFonts w:ascii="Times" w:eastAsia="Times" w:hAnsi="Times"/>
          <w:color w:val="333399"/>
          <w:sz w:val="24"/>
          <w:szCs w:val="24"/>
        </w:rPr>
        <w:t>April 2014</w:t>
      </w:r>
    </w:p>
    <w:p w:rsidR="00537D9C" w:rsidRPr="00537D9C" w:rsidRDefault="00537D9C" w:rsidP="00537D9C">
      <w:pPr>
        <w:spacing w:after="0" w:line="240" w:lineRule="auto"/>
        <w:jc w:val="center"/>
        <w:rPr>
          <w:rFonts w:ascii="Times" w:eastAsia="Times" w:hAnsi="Times"/>
          <w:color w:val="333399"/>
          <w:sz w:val="24"/>
          <w:szCs w:val="24"/>
        </w:rPr>
      </w:pPr>
    </w:p>
    <w:p w:rsidR="008E5225" w:rsidRPr="00097636" w:rsidRDefault="008E5225" w:rsidP="009A4CE5">
      <w:pPr>
        <w:spacing w:after="60" w:line="240" w:lineRule="auto"/>
        <w:ind w:left="-2358"/>
        <w:rPr>
          <w:sz w:val="6"/>
          <w:szCs w:val="6"/>
        </w:rPr>
      </w:pPr>
    </w:p>
    <w:p w:rsidR="009A4CE5" w:rsidRPr="00E515CB" w:rsidRDefault="009A4CE5" w:rsidP="00FD489D">
      <w:pPr>
        <w:pBdr>
          <w:bottom w:val="double" w:sz="6" w:space="1" w:color="auto"/>
        </w:pBdr>
        <w:spacing w:after="240" w:line="240" w:lineRule="auto"/>
        <w:jc w:val="center"/>
        <w:rPr>
          <w:rFonts w:ascii="Times" w:eastAsia="Times" w:hAnsi="Times"/>
          <w:color w:val="333399"/>
        </w:rPr>
      </w:pPr>
      <w:r w:rsidRPr="00E515CB">
        <w:rPr>
          <w:rFonts w:ascii="Times" w:eastAsia="Times" w:hAnsi="Times"/>
          <w:color w:val="333399"/>
        </w:rPr>
        <w:t>Taking Parallel Paths to a Sustainable and Energy Efficient Community</w:t>
      </w:r>
    </w:p>
    <w:p w:rsidR="00572D79" w:rsidRDefault="006E7615" w:rsidP="00FD489D">
      <w:pPr>
        <w:jc w:val="both"/>
        <w:rPr>
          <w:rFonts w:ascii="Times" w:eastAsia="Times" w:hAnsi="Times"/>
          <w:color w:val="333399"/>
          <w:sz w:val="20"/>
          <w:szCs w:val="20"/>
        </w:rPr>
      </w:pPr>
      <w:r w:rsidRPr="00FD489D">
        <w:rPr>
          <w:rFonts w:ascii="Times" w:eastAsia="Times" w:hAnsi="Times"/>
          <w:color w:val="333399"/>
          <w:sz w:val="20"/>
          <w:szCs w:val="20"/>
        </w:rPr>
        <w:t xml:space="preserve">Manatee County </w:t>
      </w:r>
      <w:r w:rsidR="007A0006" w:rsidRPr="00FD489D">
        <w:rPr>
          <w:rFonts w:ascii="Times" w:eastAsia="Times" w:hAnsi="Times"/>
          <w:color w:val="333399"/>
          <w:sz w:val="20"/>
          <w:szCs w:val="20"/>
        </w:rPr>
        <w:t xml:space="preserve">Property Management </w:t>
      </w:r>
      <w:r w:rsidRPr="00FD489D">
        <w:rPr>
          <w:rFonts w:ascii="Times" w:eastAsia="Times" w:hAnsi="Times"/>
          <w:color w:val="333399"/>
          <w:sz w:val="20"/>
          <w:szCs w:val="20"/>
        </w:rPr>
        <w:t>Energy Team</w:t>
      </w:r>
      <w:r w:rsidR="007A0006" w:rsidRPr="00FD489D">
        <w:rPr>
          <w:rFonts w:ascii="Times" w:eastAsia="Times" w:hAnsi="Times"/>
          <w:color w:val="333399"/>
          <w:sz w:val="20"/>
          <w:szCs w:val="20"/>
        </w:rPr>
        <w:t xml:space="preserve"> (PMET)</w:t>
      </w:r>
      <w:r w:rsidRPr="00FD489D">
        <w:rPr>
          <w:rFonts w:ascii="Times" w:eastAsia="Times" w:hAnsi="Times"/>
          <w:color w:val="333399"/>
          <w:sz w:val="20"/>
          <w:szCs w:val="20"/>
        </w:rPr>
        <w:t xml:space="preserve"> began their </w:t>
      </w:r>
      <w:r w:rsidR="00B4150D" w:rsidRPr="00FD489D">
        <w:rPr>
          <w:rFonts w:ascii="Times" w:eastAsia="Times" w:hAnsi="Times"/>
          <w:color w:val="333399"/>
          <w:sz w:val="20"/>
          <w:szCs w:val="20"/>
        </w:rPr>
        <w:t>eff</w:t>
      </w:r>
      <w:r w:rsidR="00D74353" w:rsidRPr="00FD489D">
        <w:rPr>
          <w:rFonts w:ascii="Times" w:eastAsia="Times" w:hAnsi="Times"/>
          <w:color w:val="333399"/>
          <w:sz w:val="20"/>
          <w:szCs w:val="20"/>
        </w:rPr>
        <w:t>orts in 2009 as it became clear</w:t>
      </w:r>
      <w:r w:rsidR="00B4150D" w:rsidRPr="00FD489D">
        <w:rPr>
          <w:rFonts w:ascii="Times" w:eastAsia="Times" w:hAnsi="Times"/>
          <w:color w:val="333399"/>
          <w:sz w:val="20"/>
          <w:szCs w:val="20"/>
        </w:rPr>
        <w:t xml:space="preserve"> financial condition</w:t>
      </w:r>
      <w:r w:rsidR="00D74353" w:rsidRPr="00FD489D">
        <w:rPr>
          <w:rFonts w:ascii="Times" w:eastAsia="Times" w:hAnsi="Times"/>
          <w:color w:val="333399"/>
          <w:sz w:val="20"/>
          <w:szCs w:val="20"/>
        </w:rPr>
        <w:t>s were</w:t>
      </w:r>
      <w:r w:rsidR="00B4150D" w:rsidRPr="00FD489D">
        <w:rPr>
          <w:rFonts w:ascii="Times" w:eastAsia="Times" w:hAnsi="Times"/>
          <w:color w:val="333399"/>
          <w:sz w:val="20"/>
          <w:szCs w:val="20"/>
        </w:rPr>
        <w:t xml:space="preserve"> quickly </w:t>
      </w:r>
      <w:r w:rsidR="0008061B">
        <w:rPr>
          <w:rFonts w:ascii="Times" w:eastAsia="Times" w:hAnsi="Times"/>
          <w:color w:val="333399"/>
          <w:sz w:val="20"/>
          <w:szCs w:val="20"/>
        </w:rPr>
        <w:t>shrinking due to the economic downturn</w:t>
      </w:r>
      <w:r w:rsidR="00B4150D" w:rsidRPr="00FD489D">
        <w:rPr>
          <w:rFonts w:ascii="Times" w:eastAsia="Times" w:hAnsi="Times"/>
          <w:color w:val="333399"/>
          <w:sz w:val="20"/>
          <w:szCs w:val="20"/>
        </w:rPr>
        <w:t xml:space="preserve">.  </w:t>
      </w:r>
      <w:r w:rsidR="0008061B">
        <w:rPr>
          <w:rFonts w:ascii="Times" w:eastAsia="Times" w:hAnsi="Times"/>
          <w:color w:val="333399"/>
          <w:sz w:val="20"/>
          <w:szCs w:val="20"/>
        </w:rPr>
        <w:t>PMET concentrated</w:t>
      </w:r>
      <w:r w:rsidR="00B17F3D">
        <w:rPr>
          <w:rFonts w:ascii="Times" w:eastAsia="Times" w:hAnsi="Times"/>
          <w:color w:val="333399"/>
          <w:sz w:val="20"/>
          <w:szCs w:val="20"/>
        </w:rPr>
        <w:t xml:space="preserve"> its </w:t>
      </w:r>
      <w:r w:rsidR="00844D85">
        <w:rPr>
          <w:rFonts w:ascii="Times" w:eastAsia="Times" w:hAnsi="Times"/>
          <w:color w:val="333399"/>
          <w:sz w:val="20"/>
          <w:szCs w:val="20"/>
        </w:rPr>
        <w:t>efforts</w:t>
      </w:r>
      <w:r w:rsidR="00B17F3D">
        <w:rPr>
          <w:rFonts w:ascii="Times" w:eastAsia="Times" w:hAnsi="Times"/>
          <w:color w:val="333399"/>
          <w:sz w:val="20"/>
          <w:szCs w:val="20"/>
        </w:rPr>
        <w:t xml:space="preserve"> on utility expense and discovered</w:t>
      </w:r>
      <w:r w:rsidR="001D4DC8" w:rsidRPr="00FD489D">
        <w:rPr>
          <w:rFonts w:ascii="Times" w:eastAsia="Times" w:hAnsi="Times"/>
          <w:color w:val="333399"/>
          <w:sz w:val="20"/>
          <w:szCs w:val="20"/>
        </w:rPr>
        <w:t xml:space="preserve"> </w:t>
      </w:r>
      <w:r w:rsidR="00B17F3D">
        <w:rPr>
          <w:rFonts w:ascii="Times" w:eastAsia="Times" w:hAnsi="Times"/>
          <w:color w:val="333399"/>
          <w:sz w:val="20"/>
          <w:szCs w:val="20"/>
        </w:rPr>
        <w:t xml:space="preserve">more </w:t>
      </w:r>
      <w:r w:rsidR="00844D85">
        <w:rPr>
          <w:rFonts w:ascii="Times" w:eastAsia="Times" w:hAnsi="Times"/>
          <w:color w:val="333399"/>
          <w:sz w:val="20"/>
          <w:szCs w:val="20"/>
        </w:rPr>
        <w:t>than</w:t>
      </w:r>
      <w:r w:rsidR="00844D85" w:rsidRPr="00FD489D">
        <w:rPr>
          <w:rFonts w:ascii="Times" w:eastAsia="Times" w:hAnsi="Times"/>
          <w:color w:val="333399"/>
          <w:sz w:val="20"/>
          <w:szCs w:val="20"/>
        </w:rPr>
        <w:t xml:space="preserve"> </w:t>
      </w:r>
      <w:r w:rsidR="00844D85">
        <w:rPr>
          <w:rFonts w:ascii="Times" w:eastAsia="Times" w:hAnsi="Times"/>
          <w:color w:val="333399"/>
          <w:sz w:val="20"/>
          <w:szCs w:val="20"/>
        </w:rPr>
        <w:t>$</w:t>
      </w:r>
      <w:r w:rsidR="001D4DC8" w:rsidRPr="00FD489D">
        <w:rPr>
          <w:rFonts w:ascii="Times" w:eastAsia="Times" w:hAnsi="Times"/>
          <w:color w:val="333399"/>
          <w:sz w:val="20"/>
          <w:szCs w:val="20"/>
        </w:rPr>
        <w:t>1</w:t>
      </w:r>
      <w:r w:rsidR="00EC0879" w:rsidRPr="00FD489D">
        <w:rPr>
          <w:rFonts w:ascii="Times" w:eastAsia="Times" w:hAnsi="Times"/>
          <w:color w:val="333399"/>
          <w:sz w:val="20"/>
          <w:szCs w:val="20"/>
        </w:rPr>
        <w:t>1</w:t>
      </w:r>
      <w:r w:rsidR="007A0F6E">
        <w:rPr>
          <w:rFonts w:ascii="Times" w:eastAsia="Times" w:hAnsi="Times"/>
          <w:color w:val="333399"/>
          <w:sz w:val="20"/>
          <w:szCs w:val="20"/>
        </w:rPr>
        <w:t>,000,000</w:t>
      </w:r>
      <w:r w:rsidR="001D4DC8" w:rsidRPr="00FD489D">
        <w:rPr>
          <w:rFonts w:ascii="Times" w:eastAsia="Times" w:hAnsi="Times"/>
          <w:color w:val="333399"/>
          <w:sz w:val="20"/>
          <w:szCs w:val="20"/>
        </w:rPr>
        <w:t xml:space="preserve"> million dollars </w:t>
      </w:r>
      <w:r w:rsidR="00B17F3D">
        <w:rPr>
          <w:rFonts w:ascii="Times" w:eastAsia="Times" w:hAnsi="Times"/>
          <w:color w:val="333399"/>
          <w:sz w:val="20"/>
          <w:szCs w:val="20"/>
        </w:rPr>
        <w:t>was incurred annually</w:t>
      </w:r>
      <w:r w:rsidR="00101A4F" w:rsidRPr="00101A4F">
        <w:rPr>
          <w:rFonts w:ascii="Times" w:eastAsia="Times" w:hAnsi="Times"/>
          <w:color w:val="333399"/>
          <w:sz w:val="20"/>
          <w:szCs w:val="20"/>
        </w:rPr>
        <w:t xml:space="preserve"> </w:t>
      </w:r>
      <w:r w:rsidR="00101A4F">
        <w:rPr>
          <w:rFonts w:ascii="Times" w:eastAsia="Times" w:hAnsi="Times"/>
          <w:color w:val="333399"/>
          <w:sz w:val="20"/>
          <w:szCs w:val="20"/>
        </w:rPr>
        <w:t>for electrical power</w:t>
      </w:r>
      <w:r w:rsidR="007A0F6E">
        <w:rPr>
          <w:rFonts w:ascii="Times" w:eastAsia="Times" w:hAnsi="Times"/>
          <w:color w:val="333399"/>
          <w:sz w:val="20"/>
          <w:szCs w:val="20"/>
        </w:rPr>
        <w:t xml:space="preserve">. </w:t>
      </w:r>
      <w:r w:rsidR="001D4DC8" w:rsidRPr="00FD489D">
        <w:rPr>
          <w:rFonts w:ascii="Times" w:eastAsia="Times" w:hAnsi="Times"/>
          <w:color w:val="333399"/>
          <w:sz w:val="20"/>
          <w:szCs w:val="20"/>
        </w:rPr>
        <w:t xml:space="preserve"> </w:t>
      </w:r>
      <w:r w:rsidR="00B43162">
        <w:rPr>
          <w:rFonts w:ascii="Times" w:eastAsia="Times" w:hAnsi="Times"/>
          <w:color w:val="333399"/>
          <w:sz w:val="20"/>
          <w:szCs w:val="20"/>
        </w:rPr>
        <w:t xml:space="preserve">PMET wanted </w:t>
      </w:r>
      <w:r w:rsidR="00B43162" w:rsidRPr="00FD489D">
        <w:rPr>
          <w:rFonts w:ascii="Times" w:eastAsia="Times" w:hAnsi="Times"/>
          <w:color w:val="333399"/>
          <w:sz w:val="20"/>
          <w:szCs w:val="20"/>
        </w:rPr>
        <w:t xml:space="preserve">to learn how, </w:t>
      </w:r>
      <w:r w:rsidR="00C84CAB" w:rsidRPr="00FD489D">
        <w:rPr>
          <w:rFonts w:ascii="Times" w:eastAsia="Times" w:hAnsi="Times"/>
          <w:color w:val="333399"/>
          <w:sz w:val="20"/>
          <w:szCs w:val="20"/>
        </w:rPr>
        <w:t>why</w:t>
      </w:r>
      <w:r w:rsidR="00B43162" w:rsidRPr="00FD489D">
        <w:rPr>
          <w:rFonts w:ascii="Times" w:eastAsia="Times" w:hAnsi="Times"/>
          <w:color w:val="333399"/>
          <w:sz w:val="20"/>
          <w:szCs w:val="20"/>
        </w:rPr>
        <w:t xml:space="preserve"> and where </w:t>
      </w:r>
      <w:r w:rsidR="00C84CAB">
        <w:rPr>
          <w:rFonts w:ascii="Times" w:eastAsia="Times" w:hAnsi="Times"/>
          <w:color w:val="333399"/>
          <w:sz w:val="20"/>
          <w:szCs w:val="20"/>
        </w:rPr>
        <w:t>utility expense</w:t>
      </w:r>
      <w:r w:rsidR="00B43162" w:rsidRPr="00FD489D">
        <w:rPr>
          <w:rFonts w:ascii="Times" w:eastAsia="Times" w:hAnsi="Times"/>
          <w:color w:val="333399"/>
          <w:sz w:val="20"/>
          <w:szCs w:val="20"/>
        </w:rPr>
        <w:t xml:space="preserve"> could be trimmed and </w:t>
      </w:r>
      <w:r w:rsidR="00C84CAB">
        <w:rPr>
          <w:rFonts w:ascii="Times" w:eastAsia="Times" w:hAnsi="Times"/>
          <w:color w:val="333399"/>
          <w:sz w:val="20"/>
          <w:szCs w:val="20"/>
        </w:rPr>
        <w:t>how</w:t>
      </w:r>
      <w:r w:rsidR="00B43162" w:rsidRPr="00FD489D">
        <w:rPr>
          <w:rFonts w:ascii="Times" w:eastAsia="Times" w:hAnsi="Times"/>
          <w:color w:val="333399"/>
          <w:sz w:val="20"/>
          <w:szCs w:val="20"/>
        </w:rPr>
        <w:t xml:space="preserve"> operations could become far more sustainable</w:t>
      </w:r>
      <w:r w:rsidR="00C84CAB">
        <w:rPr>
          <w:rFonts w:ascii="Times" w:eastAsia="Times" w:hAnsi="Times"/>
          <w:color w:val="333399"/>
          <w:sz w:val="20"/>
          <w:szCs w:val="20"/>
        </w:rPr>
        <w:t>.</w:t>
      </w:r>
      <w:r w:rsidR="00B43162" w:rsidRPr="00FD489D">
        <w:rPr>
          <w:rFonts w:ascii="Times" w:eastAsia="Times" w:hAnsi="Times"/>
          <w:color w:val="333399"/>
          <w:sz w:val="20"/>
          <w:szCs w:val="20"/>
        </w:rPr>
        <w:t xml:space="preserve"> </w:t>
      </w:r>
      <w:r w:rsidR="00572D79">
        <w:rPr>
          <w:rFonts w:ascii="Times" w:eastAsia="Times" w:hAnsi="Times"/>
          <w:color w:val="333399"/>
          <w:sz w:val="20"/>
          <w:szCs w:val="20"/>
        </w:rPr>
        <w:t xml:space="preserve">The agreed upon approach was to begin with an audit of utility expense, eliminate waste, choose </w:t>
      </w:r>
      <w:r w:rsidR="00E4624C">
        <w:rPr>
          <w:rFonts w:ascii="Times" w:eastAsia="Times" w:hAnsi="Times"/>
          <w:color w:val="333399"/>
          <w:sz w:val="20"/>
          <w:szCs w:val="20"/>
        </w:rPr>
        <w:t>facilities for sustainable energy renovations</w:t>
      </w:r>
      <w:r w:rsidR="00572D79">
        <w:rPr>
          <w:rFonts w:ascii="Times" w:eastAsia="Times" w:hAnsi="Times"/>
          <w:color w:val="333399"/>
          <w:sz w:val="20"/>
          <w:szCs w:val="20"/>
        </w:rPr>
        <w:t xml:space="preserve"> and </w:t>
      </w:r>
      <w:proofErr w:type="gramStart"/>
      <w:r w:rsidR="00AE0D00">
        <w:rPr>
          <w:rFonts w:ascii="Times" w:eastAsia="Times" w:hAnsi="Times"/>
          <w:color w:val="333399"/>
          <w:sz w:val="20"/>
          <w:szCs w:val="20"/>
        </w:rPr>
        <w:t>apply</w:t>
      </w:r>
      <w:proofErr w:type="gramEnd"/>
      <w:r w:rsidR="00AE0D00">
        <w:rPr>
          <w:rFonts w:ascii="Times" w:eastAsia="Times" w:hAnsi="Times"/>
          <w:color w:val="333399"/>
          <w:sz w:val="20"/>
          <w:szCs w:val="20"/>
        </w:rPr>
        <w:t xml:space="preserve"> for any</w:t>
      </w:r>
      <w:r w:rsidR="00492E44">
        <w:rPr>
          <w:rFonts w:ascii="Times" w:eastAsia="Times" w:hAnsi="Times"/>
          <w:color w:val="333399"/>
          <w:sz w:val="20"/>
          <w:szCs w:val="20"/>
        </w:rPr>
        <w:t xml:space="preserve"> available</w:t>
      </w:r>
      <w:r w:rsidR="002441FC">
        <w:rPr>
          <w:rFonts w:ascii="Times" w:eastAsia="Times" w:hAnsi="Times"/>
          <w:color w:val="333399"/>
          <w:sz w:val="20"/>
          <w:szCs w:val="20"/>
        </w:rPr>
        <w:t xml:space="preserve"> federal grant funding</w:t>
      </w:r>
      <w:r w:rsidR="00FA6B97">
        <w:rPr>
          <w:rFonts w:ascii="Times" w:eastAsia="Times" w:hAnsi="Times"/>
          <w:color w:val="333399"/>
          <w:sz w:val="20"/>
          <w:szCs w:val="20"/>
        </w:rPr>
        <w:t>.</w:t>
      </w:r>
    </w:p>
    <w:p w:rsidR="000469D0" w:rsidRDefault="000469D0" w:rsidP="00FD489D">
      <w:pPr>
        <w:jc w:val="both"/>
        <w:rPr>
          <w:rFonts w:ascii="Times" w:eastAsia="Times" w:hAnsi="Times"/>
          <w:color w:val="333399"/>
          <w:sz w:val="20"/>
          <w:szCs w:val="20"/>
        </w:rPr>
      </w:pPr>
      <w:r>
        <w:rPr>
          <w:rFonts w:ascii="Times" w:eastAsia="Times" w:hAnsi="Times"/>
          <w:color w:val="333399"/>
          <w:sz w:val="20"/>
          <w:szCs w:val="20"/>
        </w:rPr>
        <w:t>PMET</w:t>
      </w:r>
      <w:r w:rsidR="001D4DC8" w:rsidRPr="00FD489D">
        <w:rPr>
          <w:rFonts w:ascii="Times" w:eastAsia="Times" w:hAnsi="Times"/>
          <w:color w:val="333399"/>
          <w:sz w:val="20"/>
          <w:szCs w:val="20"/>
        </w:rPr>
        <w:t xml:space="preserve"> </w:t>
      </w:r>
      <w:r>
        <w:rPr>
          <w:rFonts w:ascii="Times" w:eastAsia="Times" w:hAnsi="Times"/>
          <w:color w:val="333399"/>
          <w:sz w:val="20"/>
          <w:szCs w:val="20"/>
        </w:rPr>
        <w:t>conducted a County wide inventory audit on energy consuming products such as</w:t>
      </w:r>
      <w:r w:rsidR="001D4DC8" w:rsidRPr="00FD489D">
        <w:rPr>
          <w:rFonts w:ascii="Times" w:eastAsia="Times" w:hAnsi="Times"/>
          <w:color w:val="333399"/>
          <w:sz w:val="20"/>
          <w:szCs w:val="20"/>
        </w:rPr>
        <w:t xml:space="preserve"> refrigerators, printers, fax machines, </w:t>
      </w:r>
      <w:r w:rsidRPr="00FD489D">
        <w:rPr>
          <w:rFonts w:ascii="Times" w:eastAsia="Times" w:hAnsi="Times"/>
          <w:color w:val="333399"/>
          <w:sz w:val="20"/>
          <w:szCs w:val="20"/>
        </w:rPr>
        <w:t>lighting and air conditioning systems</w:t>
      </w:r>
      <w:r>
        <w:rPr>
          <w:rFonts w:ascii="Times" w:eastAsia="Times" w:hAnsi="Times"/>
          <w:color w:val="333399"/>
          <w:sz w:val="20"/>
          <w:szCs w:val="20"/>
        </w:rPr>
        <w:t>.</w:t>
      </w:r>
      <w:r w:rsidRPr="000469D0">
        <w:rPr>
          <w:rFonts w:ascii="Times" w:eastAsia="Times" w:hAnsi="Times"/>
          <w:color w:val="333399"/>
          <w:sz w:val="20"/>
          <w:szCs w:val="20"/>
        </w:rPr>
        <w:t xml:space="preserve"> </w:t>
      </w:r>
      <w:r>
        <w:rPr>
          <w:rFonts w:ascii="Times" w:eastAsia="Times" w:hAnsi="Times"/>
          <w:color w:val="333399"/>
          <w:sz w:val="20"/>
          <w:szCs w:val="20"/>
        </w:rPr>
        <w:t xml:space="preserve">The audit depicted </w:t>
      </w:r>
      <w:r w:rsidR="00AA64A4">
        <w:rPr>
          <w:rFonts w:ascii="Times" w:eastAsia="Times" w:hAnsi="Times"/>
          <w:color w:val="333399"/>
          <w:sz w:val="20"/>
          <w:szCs w:val="20"/>
        </w:rPr>
        <w:t>significant energy waste and tremendous opportunities for savings.</w:t>
      </w:r>
      <w:r>
        <w:rPr>
          <w:rFonts w:ascii="Times" w:eastAsia="Times" w:hAnsi="Times"/>
          <w:color w:val="333399"/>
          <w:sz w:val="20"/>
          <w:szCs w:val="20"/>
        </w:rPr>
        <w:t xml:space="preserve"> </w:t>
      </w:r>
      <w:r w:rsidR="00AA64A4">
        <w:rPr>
          <w:rFonts w:ascii="Times" w:eastAsia="Times" w:hAnsi="Times"/>
          <w:color w:val="333399"/>
          <w:sz w:val="20"/>
          <w:szCs w:val="20"/>
        </w:rPr>
        <w:t xml:space="preserve">  </w:t>
      </w:r>
      <w:r w:rsidRPr="00FD489D">
        <w:rPr>
          <w:rFonts w:ascii="Times" w:eastAsia="Times" w:hAnsi="Times"/>
          <w:color w:val="333399"/>
          <w:sz w:val="20"/>
          <w:szCs w:val="20"/>
        </w:rPr>
        <w:t xml:space="preserve">Under the desk refrigerators were </w:t>
      </w:r>
      <w:r w:rsidR="00030996">
        <w:rPr>
          <w:rFonts w:ascii="Times" w:eastAsia="Times" w:hAnsi="Times"/>
          <w:color w:val="333399"/>
          <w:sz w:val="20"/>
          <w:szCs w:val="20"/>
        </w:rPr>
        <w:t xml:space="preserve">removed, </w:t>
      </w:r>
      <w:r w:rsidRPr="00FD489D">
        <w:rPr>
          <w:rFonts w:ascii="Times" w:eastAsia="Times" w:hAnsi="Times"/>
          <w:color w:val="333399"/>
          <w:sz w:val="20"/>
          <w:szCs w:val="20"/>
        </w:rPr>
        <w:t xml:space="preserve">trash collection and recycling services were restructured, out dated lighting systems were upgraded, occupancy </w:t>
      </w:r>
      <w:r w:rsidR="00030996">
        <w:rPr>
          <w:rFonts w:ascii="Times" w:eastAsia="Times" w:hAnsi="Times"/>
          <w:color w:val="333399"/>
          <w:sz w:val="20"/>
          <w:szCs w:val="20"/>
        </w:rPr>
        <w:t xml:space="preserve">light </w:t>
      </w:r>
      <w:r w:rsidRPr="00FD489D">
        <w:rPr>
          <w:rFonts w:ascii="Times" w:eastAsia="Times" w:hAnsi="Times"/>
          <w:color w:val="333399"/>
          <w:sz w:val="20"/>
          <w:szCs w:val="20"/>
        </w:rPr>
        <w:t xml:space="preserve">sensors were installed, </w:t>
      </w:r>
      <w:r w:rsidR="00030996">
        <w:rPr>
          <w:rFonts w:ascii="Times" w:eastAsia="Times" w:hAnsi="Times"/>
          <w:color w:val="333399"/>
          <w:sz w:val="20"/>
          <w:szCs w:val="20"/>
        </w:rPr>
        <w:t xml:space="preserve">stand alone </w:t>
      </w:r>
      <w:r w:rsidRPr="00FD489D">
        <w:rPr>
          <w:rFonts w:ascii="Times" w:eastAsia="Times" w:hAnsi="Times"/>
          <w:color w:val="333399"/>
          <w:sz w:val="20"/>
          <w:szCs w:val="20"/>
        </w:rPr>
        <w:t xml:space="preserve">printers were </w:t>
      </w:r>
      <w:r w:rsidR="00030996">
        <w:rPr>
          <w:rFonts w:ascii="Times" w:eastAsia="Times" w:hAnsi="Times"/>
          <w:color w:val="333399"/>
          <w:sz w:val="20"/>
          <w:szCs w:val="20"/>
        </w:rPr>
        <w:t xml:space="preserve">removed, </w:t>
      </w:r>
      <w:r w:rsidR="005601A7">
        <w:rPr>
          <w:rFonts w:ascii="Times" w:eastAsia="Times" w:hAnsi="Times"/>
          <w:color w:val="333399"/>
          <w:sz w:val="20"/>
          <w:szCs w:val="20"/>
        </w:rPr>
        <w:t xml:space="preserve">upgraded </w:t>
      </w:r>
      <w:r w:rsidR="005601A7" w:rsidRPr="00FD489D">
        <w:rPr>
          <w:rFonts w:ascii="Times" w:eastAsia="Times" w:hAnsi="Times"/>
          <w:color w:val="333399"/>
          <w:sz w:val="20"/>
          <w:szCs w:val="20"/>
        </w:rPr>
        <w:t xml:space="preserve">recycling programs </w:t>
      </w:r>
      <w:r w:rsidRPr="00FD489D">
        <w:rPr>
          <w:rFonts w:ascii="Times" w:eastAsia="Times" w:hAnsi="Times"/>
          <w:color w:val="333399"/>
          <w:sz w:val="20"/>
          <w:szCs w:val="20"/>
        </w:rPr>
        <w:t xml:space="preserve">and air conditioning software control systems were reprogrammed.  These initial steps immediately reflected </w:t>
      </w:r>
      <w:r w:rsidR="00174B07">
        <w:rPr>
          <w:rFonts w:ascii="Times" w:eastAsia="Times" w:hAnsi="Times"/>
          <w:color w:val="333399"/>
          <w:sz w:val="20"/>
          <w:szCs w:val="20"/>
        </w:rPr>
        <w:t xml:space="preserve">a positive </w:t>
      </w:r>
      <w:r w:rsidR="005D3945">
        <w:rPr>
          <w:rFonts w:ascii="Times" w:eastAsia="Times" w:hAnsi="Times"/>
          <w:color w:val="333399"/>
          <w:sz w:val="20"/>
          <w:szCs w:val="20"/>
        </w:rPr>
        <w:t xml:space="preserve">utility expense </w:t>
      </w:r>
      <w:r w:rsidR="00174B07">
        <w:rPr>
          <w:rFonts w:ascii="Times" w:eastAsia="Times" w:hAnsi="Times"/>
          <w:color w:val="333399"/>
          <w:sz w:val="20"/>
          <w:szCs w:val="20"/>
        </w:rPr>
        <w:t xml:space="preserve">savings </w:t>
      </w:r>
      <w:r w:rsidR="00DC159E">
        <w:rPr>
          <w:rFonts w:ascii="Times" w:eastAsia="Times" w:hAnsi="Times"/>
          <w:color w:val="333399"/>
          <w:sz w:val="20"/>
          <w:szCs w:val="20"/>
        </w:rPr>
        <w:t>of more than $500,000</w:t>
      </w:r>
      <w:r w:rsidR="005D3945">
        <w:rPr>
          <w:rFonts w:ascii="Times" w:eastAsia="Times" w:hAnsi="Times"/>
          <w:color w:val="333399"/>
          <w:sz w:val="20"/>
          <w:szCs w:val="20"/>
        </w:rPr>
        <w:t xml:space="preserve"> dollars</w:t>
      </w:r>
      <w:r w:rsidR="00DC159E">
        <w:rPr>
          <w:rFonts w:ascii="Times" w:eastAsia="Times" w:hAnsi="Times"/>
          <w:color w:val="333399"/>
          <w:sz w:val="20"/>
          <w:szCs w:val="20"/>
        </w:rPr>
        <w:t xml:space="preserve"> </w:t>
      </w:r>
      <w:r w:rsidR="005D3945">
        <w:rPr>
          <w:rFonts w:ascii="Times" w:eastAsia="Times" w:hAnsi="Times"/>
          <w:color w:val="333399"/>
          <w:sz w:val="20"/>
          <w:szCs w:val="20"/>
        </w:rPr>
        <w:t>within one year.</w:t>
      </w:r>
    </w:p>
    <w:p w:rsidR="00BA5DE9" w:rsidRPr="00FD489D" w:rsidRDefault="007D47BB" w:rsidP="00FD489D">
      <w:pPr>
        <w:jc w:val="both"/>
        <w:rPr>
          <w:rFonts w:ascii="Times" w:eastAsia="Times" w:hAnsi="Times"/>
          <w:color w:val="333399"/>
          <w:sz w:val="20"/>
          <w:szCs w:val="20"/>
        </w:rPr>
      </w:pPr>
      <w:r w:rsidRPr="00FD489D">
        <w:rPr>
          <w:rFonts w:ascii="Times" w:eastAsia="Times" w:hAnsi="Times"/>
          <w:color w:val="333399"/>
          <w:sz w:val="20"/>
          <w:szCs w:val="20"/>
        </w:rPr>
        <w:t xml:space="preserve">Over the </w:t>
      </w:r>
      <w:r w:rsidR="001431E0" w:rsidRPr="00FD489D">
        <w:rPr>
          <w:rFonts w:ascii="Times" w:eastAsia="Times" w:hAnsi="Times"/>
          <w:color w:val="333399"/>
          <w:sz w:val="20"/>
          <w:szCs w:val="20"/>
        </w:rPr>
        <w:t xml:space="preserve">next </w:t>
      </w:r>
      <w:r w:rsidRPr="00FD489D">
        <w:rPr>
          <w:rFonts w:ascii="Times" w:eastAsia="Times" w:hAnsi="Times"/>
          <w:color w:val="333399"/>
          <w:sz w:val="20"/>
          <w:szCs w:val="20"/>
        </w:rPr>
        <w:t xml:space="preserve">four years </w:t>
      </w:r>
      <w:r w:rsidR="005601A7">
        <w:rPr>
          <w:rFonts w:ascii="Times" w:eastAsia="Times" w:hAnsi="Times"/>
          <w:color w:val="333399"/>
          <w:sz w:val="20"/>
          <w:szCs w:val="20"/>
        </w:rPr>
        <w:t>PMET</w:t>
      </w:r>
      <w:r w:rsidRPr="00FD489D">
        <w:rPr>
          <w:rFonts w:ascii="Times" w:eastAsia="Times" w:hAnsi="Times"/>
          <w:color w:val="333399"/>
          <w:sz w:val="20"/>
          <w:szCs w:val="20"/>
        </w:rPr>
        <w:t xml:space="preserve"> </w:t>
      </w:r>
      <w:r w:rsidR="005601A7">
        <w:rPr>
          <w:rFonts w:ascii="Times" w:eastAsia="Times" w:hAnsi="Times"/>
          <w:color w:val="333399"/>
          <w:sz w:val="20"/>
          <w:szCs w:val="20"/>
        </w:rPr>
        <w:t>developed</w:t>
      </w:r>
      <w:r w:rsidRPr="00FD489D">
        <w:rPr>
          <w:rFonts w:ascii="Times" w:eastAsia="Times" w:hAnsi="Times"/>
          <w:color w:val="333399"/>
          <w:sz w:val="20"/>
          <w:szCs w:val="20"/>
        </w:rPr>
        <w:t xml:space="preserve"> a new </w:t>
      </w:r>
      <w:r w:rsidR="00353124" w:rsidRPr="00FD489D">
        <w:rPr>
          <w:rFonts w:ascii="Times" w:eastAsia="Times" w:hAnsi="Times"/>
          <w:color w:val="333399"/>
          <w:sz w:val="20"/>
          <w:szCs w:val="20"/>
        </w:rPr>
        <w:t xml:space="preserve">community </w:t>
      </w:r>
      <w:r w:rsidRPr="00FD489D">
        <w:rPr>
          <w:rFonts w:ascii="Times" w:eastAsia="Times" w:hAnsi="Times"/>
          <w:color w:val="333399"/>
          <w:sz w:val="20"/>
          <w:szCs w:val="20"/>
        </w:rPr>
        <w:t xml:space="preserve">model </w:t>
      </w:r>
      <w:r w:rsidR="005601A7">
        <w:rPr>
          <w:rFonts w:ascii="Times" w:eastAsia="Times" w:hAnsi="Times"/>
          <w:color w:val="333399"/>
          <w:sz w:val="20"/>
          <w:szCs w:val="20"/>
        </w:rPr>
        <w:t>supporting</w:t>
      </w:r>
      <w:r w:rsidRPr="00FD489D">
        <w:rPr>
          <w:rFonts w:ascii="Times" w:eastAsia="Times" w:hAnsi="Times"/>
          <w:color w:val="333399"/>
          <w:sz w:val="20"/>
          <w:szCs w:val="20"/>
        </w:rPr>
        <w:t xml:space="preserve"> a </w:t>
      </w:r>
      <w:r w:rsidR="00353124">
        <w:rPr>
          <w:rFonts w:ascii="Times" w:eastAsia="Times" w:hAnsi="Times"/>
          <w:color w:val="333399"/>
          <w:sz w:val="20"/>
          <w:szCs w:val="20"/>
        </w:rPr>
        <w:t xml:space="preserve">more </w:t>
      </w:r>
      <w:r w:rsidRPr="00FD489D">
        <w:rPr>
          <w:rFonts w:ascii="Times" w:eastAsia="Times" w:hAnsi="Times"/>
          <w:color w:val="333399"/>
          <w:sz w:val="20"/>
          <w:szCs w:val="20"/>
        </w:rPr>
        <w:t xml:space="preserve">sustainable and energy </w:t>
      </w:r>
      <w:r w:rsidR="00DE3CE1" w:rsidRPr="00FD489D">
        <w:rPr>
          <w:rFonts w:ascii="Times" w:eastAsia="Times" w:hAnsi="Times"/>
          <w:color w:val="333399"/>
          <w:sz w:val="20"/>
          <w:szCs w:val="20"/>
        </w:rPr>
        <w:t>efficient</w:t>
      </w:r>
      <w:r w:rsidRPr="00FD489D">
        <w:rPr>
          <w:rFonts w:ascii="Times" w:eastAsia="Times" w:hAnsi="Times"/>
          <w:color w:val="333399"/>
          <w:sz w:val="20"/>
          <w:szCs w:val="20"/>
        </w:rPr>
        <w:t xml:space="preserve"> governmental operation. </w:t>
      </w:r>
      <w:r w:rsidR="00712460">
        <w:rPr>
          <w:rFonts w:ascii="Times" w:eastAsia="Times" w:hAnsi="Times"/>
          <w:color w:val="333399"/>
          <w:sz w:val="20"/>
          <w:szCs w:val="20"/>
        </w:rPr>
        <w:t xml:space="preserve"> Part of this process involved applying for </w:t>
      </w:r>
      <w:r w:rsidR="00FA6A75">
        <w:rPr>
          <w:rFonts w:ascii="Times" w:eastAsia="Times" w:hAnsi="Times"/>
          <w:color w:val="333399"/>
          <w:sz w:val="20"/>
          <w:szCs w:val="20"/>
        </w:rPr>
        <w:t xml:space="preserve">federal energy grant funding, </w:t>
      </w:r>
      <w:r w:rsidR="00712460" w:rsidRPr="00FD489D">
        <w:rPr>
          <w:rFonts w:ascii="Times" w:eastAsia="Times" w:hAnsi="Times"/>
          <w:color w:val="333399"/>
          <w:sz w:val="20"/>
          <w:szCs w:val="20"/>
        </w:rPr>
        <w:t xml:space="preserve">Silver Certification from the Florida Green Building Coalition and taking a lead role in Manatee County’s Green Team Initiative. </w:t>
      </w:r>
      <w:r w:rsidR="000620DA">
        <w:rPr>
          <w:rFonts w:ascii="Times" w:eastAsia="Times" w:hAnsi="Times"/>
          <w:color w:val="333399"/>
          <w:sz w:val="20"/>
          <w:szCs w:val="20"/>
        </w:rPr>
        <w:t>The blended</w:t>
      </w:r>
      <w:r w:rsidR="00E2708D" w:rsidRPr="00FD489D">
        <w:rPr>
          <w:rFonts w:ascii="Times" w:eastAsia="Times" w:hAnsi="Times"/>
          <w:color w:val="333399"/>
          <w:sz w:val="20"/>
          <w:szCs w:val="20"/>
        </w:rPr>
        <w:t xml:space="preserve"> results </w:t>
      </w:r>
      <w:r w:rsidR="000620DA">
        <w:rPr>
          <w:rFonts w:ascii="Times" w:eastAsia="Times" w:hAnsi="Times"/>
          <w:color w:val="333399"/>
          <w:sz w:val="20"/>
          <w:szCs w:val="20"/>
        </w:rPr>
        <w:t xml:space="preserve">of </w:t>
      </w:r>
      <w:r w:rsidR="00FA6A75">
        <w:rPr>
          <w:rFonts w:ascii="Times" w:eastAsia="Times" w:hAnsi="Times"/>
          <w:color w:val="333399"/>
          <w:sz w:val="20"/>
          <w:szCs w:val="20"/>
        </w:rPr>
        <w:t>receiving federal</w:t>
      </w:r>
      <w:r w:rsidR="000620DA">
        <w:rPr>
          <w:rFonts w:ascii="Times" w:eastAsia="Times" w:hAnsi="Times"/>
          <w:color w:val="333399"/>
          <w:sz w:val="20"/>
          <w:szCs w:val="20"/>
        </w:rPr>
        <w:t xml:space="preserve"> grants and </w:t>
      </w:r>
      <w:r w:rsidR="003F49C7">
        <w:rPr>
          <w:rFonts w:ascii="Times" w:eastAsia="Times" w:hAnsi="Times"/>
          <w:color w:val="333399"/>
          <w:sz w:val="20"/>
          <w:szCs w:val="20"/>
        </w:rPr>
        <w:t>implementing</w:t>
      </w:r>
      <w:r w:rsidR="000620DA">
        <w:rPr>
          <w:rFonts w:ascii="Times" w:eastAsia="Times" w:hAnsi="Times"/>
          <w:color w:val="333399"/>
          <w:sz w:val="20"/>
          <w:szCs w:val="20"/>
        </w:rPr>
        <w:t xml:space="preserve"> </w:t>
      </w:r>
      <w:r w:rsidR="00612152">
        <w:rPr>
          <w:rFonts w:ascii="Times" w:eastAsia="Times" w:hAnsi="Times"/>
          <w:color w:val="333399"/>
          <w:sz w:val="20"/>
          <w:szCs w:val="20"/>
        </w:rPr>
        <w:t xml:space="preserve">a </w:t>
      </w:r>
      <w:r w:rsidR="000620DA">
        <w:rPr>
          <w:rFonts w:ascii="Times" w:eastAsia="Times" w:hAnsi="Times"/>
          <w:color w:val="333399"/>
          <w:sz w:val="20"/>
          <w:szCs w:val="20"/>
        </w:rPr>
        <w:t>greener footprint</w:t>
      </w:r>
      <w:r w:rsidR="00E2708D" w:rsidRPr="00FD489D">
        <w:rPr>
          <w:rFonts w:ascii="Times" w:eastAsia="Times" w:hAnsi="Times"/>
          <w:color w:val="333399"/>
          <w:sz w:val="20"/>
          <w:szCs w:val="20"/>
        </w:rPr>
        <w:t xml:space="preserve"> </w:t>
      </w:r>
      <w:r w:rsidR="002441FC">
        <w:rPr>
          <w:rFonts w:ascii="Times" w:eastAsia="Times" w:hAnsi="Times"/>
          <w:color w:val="333399"/>
          <w:sz w:val="20"/>
          <w:szCs w:val="20"/>
        </w:rPr>
        <w:t>PMET</w:t>
      </w:r>
      <w:r w:rsidR="007F3AB5" w:rsidRPr="00FD489D">
        <w:rPr>
          <w:rFonts w:ascii="Times" w:eastAsia="Times" w:hAnsi="Times"/>
          <w:color w:val="333399"/>
          <w:sz w:val="20"/>
          <w:szCs w:val="20"/>
        </w:rPr>
        <w:t xml:space="preserve"> </w:t>
      </w:r>
      <w:r w:rsidR="00E2708D" w:rsidRPr="00FD489D">
        <w:rPr>
          <w:rFonts w:ascii="Times" w:eastAsia="Times" w:hAnsi="Times"/>
          <w:color w:val="333399"/>
          <w:sz w:val="20"/>
          <w:szCs w:val="20"/>
        </w:rPr>
        <w:t xml:space="preserve">had the ability </w:t>
      </w:r>
      <w:r w:rsidR="007F3AB5" w:rsidRPr="00FD489D">
        <w:rPr>
          <w:rFonts w:ascii="Times" w:eastAsia="Times" w:hAnsi="Times"/>
          <w:color w:val="333399"/>
          <w:sz w:val="20"/>
          <w:szCs w:val="20"/>
        </w:rPr>
        <w:t xml:space="preserve">and drive </w:t>
      </w:r>
      <w:r w:rsidR="00E2708D" w:rsidRPr="00FD489D">
        <w:rPr>
          <w:rFonts w:ascii="Times" w:eastAsia="Times" w:hAnsi="Times"/>
          <w:color w:val="333399"/>
          <w:sz w:val="20"/>
          <w:szCs w:val="20"/>
        </w:rPr>
        <w:t xml:space="preserve">to </w:t>
      </w:r>
      <w:r w:rsidR="00E2592D" w:rsidRPr="00FD489D">
        <w:rPr>
          <w:rFonts w:ascii="Times" w:eastAsia="Times" w:hAnsi="Times"/>
          <w:color w:val="333399"/>
          <w:sz w:val="20"/>
          <w:szCs w:val="20"/>
        </w:rPr>
        <w:t xml:space="preserve">simultaneously </w:t>
      </w:r>
      <w:r w:rsidR="00856DA5">
        <w:rPr>
          <w:rFonts w:ascii="Times" w:eastAsia="Times" w:hAnsi="Times"/>
          <w:color w:val="333399"/>
          <w:sz w:val="20"/>
          <w:szCs w:val="20"/>
        </w:rPr>
        <w:t>manage several energy sustainable</w:t>
      </w:r>
      <w:r w:rsidR="00B91159">
        <w:rPr>
          <w:rFonts w:ascii="Times" w:eastAsia="Times" w:hAnsi="Times"/>
          <w:color w:val="333399"/>
          <w:sz w:val="20"/>
          <w:szCs w:val="20"/>
        </w:rPr>
        <w:t xml:space="preserve"> projects</w:t>
      </w:r>
      <w:r w:rsidR="00DE3CE1" w:rsidRPr="00FD489D">
        <w:rPr>
          <w:rFonts w:ascii="Times" w:eastAsia="Times" w:hAnsi="Times"/>
          <w:color w:val="333399"/>
          <w:sz w:val="20"/>
          <w:szCs w:val="20"/>
        </w:rPr>
        <w:t xml:space="preserve"> </w:t>
      </w:r>
      <w:r w:rsidR="00856DA5">
        <w:rPr>
          <w:rFonts w:ascii="Times" w:eastAsia="Times" w:hAnsi="Times"/>
          <w:color w:val="333399"/>
          <w:sz w:val="20"/>
          <w:szCs w:val="20"/>
        </w:rPr>
        <w:t xml:space="preserve">that would </w:t>
      </w:r>
      <w:r w:rsidR="0094700E">
        <w:rPr>
          <w:rFonts w:ascii="Times" w:eastAsia="Times" w:hAnsi="Times"/>
          <w:color w:val="333399"/>
          <w:sz w:val="20"/>
          <w:szCs w:val="20"/>
        </w:rPr>
        <w:t>elevate</w:t>
      </w:r>
      <w:r w:rsidR="007F3AB5" w:rsidRPr="00FD489D">
        <w:rPr>
          <w:rFonts w:ascii="Times" w:eastAsia="Times" w:hAnsi="Times"/>
          <w:color w:val="333399"/>
          <w:sz w:val="20"/>
          <w:szCs w:val="20"/>
        </w:rPr>
        <w:t xml:space="preserve"> </w:t>
      </w:r>
      <w:r w:rsidR="00871BBB">
        <w:rPr>
          <w:rFonts w:ascii="Times" w:eastAsia="Times" w:hAnsi="Times"/>
          <w:color w:val="333399"/>
          <w:sz w:val="20"/>
          <w:szCs w:val="20"/>
        </w:rPr>
        <w:t xml:space="preserve">County </w:t>
      </w:r>
      <w:r w:rsidR="007F3AB5" w:rsidRPr="00FD489D">
        <w:rPr>
          <w:rFonts w:ascii="Times" w:eastAsia="Times" w:hAnsi="Times"/>
          <w:color w:val="333399"/>
          <w:sz w:val="20"/>
          <w:szCs w:val="20"/>
        </w:rPr>
        <w:t xml:space="preserve">government buildings </w:t>
      </w:r>
      <w:r w:rsidR="0094700E">
        <w:rPr>
          <w:rFonts w:ascii="Times" w:eastAsia="Times" w:hAnsi="Times"/>
          <w:color w:val="333399"/>
          <w:sz w:val="20"/>
          <w:szCs w:val="20"/>
        </w:rPr>
        <w:t>to operate</w:t>
      </w:r>
      <w:r w:rsidR="007F3AB5" w:rsidRPr="00FD489D">
        <w:rPr>
          <w:rFonts w:ascii="Times" w:eastAsia="Times" w:hAnsi="Times"/>
          <w:color w:val="333399"/>
          <w:sz w:val="20"/>
          <w:szCs w:val="20"/>
        </w:rPr>
        <w:t xml:space="preserve"> </w:t>
      </w:r>
      <w:r w:rsidR="000620DA">
        <w:rPr>
          <w:rFonts w:ascii="Times" w:eastAsia="Times" w:hAnsi="Times"/>
          <w:color w:val="333399"/>
          <w:sz w:val="20"/>
          <w:szCs w:val="20"/>
        </w:rPr>
        <w:t xml:space="preserve">more </w:t>
      </w:r>
      <w:r w:rsidR="009E61A0">
        <w:rPr>
          <w:rFonts w:ascii="Times" w:eastAsia="Times" w:hAnsi="Times"/>
          <w:color w:val="333399"/>
          <w:sz w:val="20"/>
          <w:szCs w:val="20"/>
        </w:rPr>
        <w:t>efficiently</w:t>
      </w:r>
      <w:r w:rsidR="007F3AB5" w:rsidRPr="00FD489D">
        <w:rPr>
          <w:rFonts w:ascii="Times" w:eastAsia="Times" w:hAnsi="Times"/>
          <w:color w:val="333399"/>
          <w:sz w:val="20"/>
          <w:szCs w:val="20"/>
        </w:rPr>
        <w:t>.</w:t>
      </w:r>
    </w:p>
    <w:p w:rsidR="00926EE0" w:rsidRDefault="007843E9" w:rsidP="00FD489D">
      <w:pPr>
        <w:jc w:val="both"/>
        <w:rPr>
          <w:rFonts w:ascii="Times" w:eastAsia="Times" w:hAnsi="Times"/>
          <w:color w:val="333399"/>
          <w:sz w:val="20"/>
          <w:szCs w:val="20"/>
        </w:rPr>
      </w:pPr>
      <w:r>
        <w:rPr>
          <w:rFonts w:ascii="Times" w:eastAsia="Times" w:hAnsi="Times"/>
          <w:color w:val="333399"/>
          <w:sz w:val="20"/>
          <w:szCs w:val="20"/>
        </w:rPr>
        <w:t>The first County building</w:t>
      </w:r>
      <w:r w:rsidR="00871BBB">
        <w:rPr>
          <w:rFonts w:ascii="Times" w:eastAsia="Times" w:hAnsi="Times"/>
          <w:color w:val="333399"/>
          <w:sz w:val="20"/>
          <w:szCs w:val="20"/>
        </w:rPr>
        <w:t xml:space="preserve"> to undertake </w:t>
      </w:r>
      <w:r>
        <w:rPr>
          <w:rFonts w:ascii="Times" w:eastAsia="Times" w:hAnsi="Times"/>
          <w:color w:val="333399"/>
          <w:sz w:val="20"/>
          <w:szCs w:val="20"/>
        </w:rPr>
        <w:t xml:space="preserve">a more energy efficient </w:t>
      </w:r>
      <w:r w:rsidR="009C39FC">
        <w:rPr>
          <w:rFonts w:ascii="Times" w:eastAsia="Times" w:hAnsi="Times"/>
          <w:color w:val="333399"/>
          <w:sz w:val="20"/>
          <w:szCs w:val="20"/>
        </w:rPr>
        <w:t>operation</w:t>
      </w:r>
      <w:r w:rsidR="00871BBB">
        <w:rPr>
          <w:rFonts w:ascii="Times" w:eastAsia="Times" w:hAnsi="Times"/>
          <w:color w:val="333399"/>
          <w:sz w:val="20"/>
          <w:szCs w:val="20"/>
        </w:rPr>
        <w:t xml:space="preserve"> was the </w:t>
      </w:r>
      <w:r w:rsidR="001F213D">
        <w:rPr>
          <w:rFonts w:ascii="Times" w:eastAsia="Times" w:hAnsi="Times"/>
          <w:color w:val="333399"/>
          <w:sz w:val="20"/>
          <w:szCs w:val="20"/>
        </w:rPr>
        <w:t xml:space="preserve">100 year old </w:t>
      </w:r>
      <w:r w:rsidR="00871BBB">
        <w:rPr>
          <w:rFonts w:ascii="Times" w:eastAsia="Times" w:hAnsi="Times"/>
          <w:color w:val="333399"/>
          <w:sz w:val="20"/>
          <w:szCs w:val="20"/>
        </w:rPr>
        <w:t>Historic Courth</w:t>
      </w:r>
      <w:r w:rsidR="00BA5DE9" w:rsidRPr="00FD489D">
        <w:rPr>
          <w:rFonts w:ascii="Times" w:eastAsia="Times" w:hAnsi="Times"/>
          <w:color w:val="333399"/>
          <w:sz w:val="20"/>
          <w:szCs w:val="20"/>
        </w:rPr>
        <w:t>ouse</w:t>
      </w:r>
      <w:r w:rsidR="00DC159E">
        <w:rPr>
          <w:rFonts w:ascii="Times" w:eastAsia="Times" w:hAnsi="Times"/>
          <w:color w:val="333399"/>
          <w:sz w:val="20"/>
          <w:szCs w:val="20"/>
        </w:rPr>
        <w:t xml:space="preserve"> in 2010</w:t>
      </w:r>
      <w:r w:rsidR="00BA5DE9" w:rsidRPr="00FD489D">
        <w:rPr>
          <w:rFonts w:ascii="Times" w:eastAsia="Times" w:hAnsi="Times"/>
          <w:color w:val="333399"/>
          <w:sz w:val="20"/>
          <w:szCs w:val="20"/>
        </w:rPr>
        <w:t xml:space="preserve">. </w:t>
      </w:r>
      <w:r w:rsidR="00DA63A8" w:rsidRPr="00FD489D">
        <w:rPr>
          <w:rFonts w:ascii="Times" w:eastAsia="Times" w:hAnsi="Times"/>
          <w:color w:val="333399"/>
          <w:sz w:val="20"/>
          <w:szCs w:val="20"/>
        </w:rPr>
        <w:t xml:space="preserve">The </w:t>
      </w:r>
      <w:r w:rsidR="00DA63A8">
        <w:rPr>
          <w:rFonts w:ascii="Times" w:eastAsia="Times" w:hAnsi="Times"/>
          <w:color w:val="333399"/>
          <w:sz w:val="20"/>
          <w:szCs w:val="20"/>
        </w:rPr>
        <w:t xml:space="preserve">building is a secured facility </w:t>
      </w:r>
      <w:r w:rsidR="00ED52B7">
        <w:rPr>
          <w:rFonts w:ascii="Times" w:eastAsia="Times" w:hAnsi="Times"/>
          <w:color w:val="333399"/>
          <w:sz w:val="20"/>
          <w:szCs w:val="20"/>
        </w:rPr>
        <w:t>serving the public</w:t>
      </w:r>
      <w:r w:rsidR="00296FDC">
        <w:rPr>
          <w:rFonts w:ascii="Times" w:eastAsia="Times" w:hAnsi="Times"/>
          <w:color w:val="333399"/>
          <w:sz w:val="20"/>
          <w:szCs w:val="20"/>
        </w:rPr>
        <w:t>,</w:t>
      </w:r>
      <w:r w:rsidR="00ED52B7">
        <w:rPr>
          <w:rFonts w:ascii="Times" w:eastAsia="Times" w:hAnsi="Times"/>
          <w:color w:val="333399"/>
          <w:sz w:val="20"/>
          <w:szCs w:val="20"/>
        </w:rPr>
        <w:t xml:space="preserve"> </w:t>
      </w:r>
      <w:r w:rsidR="00DA63A8">
        <w:rPr>
          <w:rFonts w:ascii="Times" w:eastAsia="Times" w:hAnsi="Times"/>
          <w:color w:val="333399"/>
          <w:sz w:val="20"/>
          <w:szCs w:val="20"/>
        </w:rPr>
        <w:t>housin</w:t>
      </w:r>
      <w:r w:rsidR="00F117C5">
        <w:rPr>
          <w:rFonts w:ascii="Times" w:eastAsia="Times" w:hAnsi="Times"/>
          <w:color w:val="333399"/>
          <w:sz w:val="20"/>
          <w:szCs w:val="20"/>
        </w:rPr>
        <w:t>g full time County empl</w:t>
      </w:r>
      <w:r w:rsidR="00ED52B7">
        <w:rPr>
          <w:rFonts w:ascii="Times" w:eastAsia="Times" w:hAnsi="Times"/>
          <w:color w:val="333399"/>
          <w:sz w:val="20"/>
          <w:szCs w:val="20"/>
        </w:rPr>
        <w:t>oyees</w:t>
      </w:r>
      <w:r w:rsidR="00DA63A8">
        <w:rPr>
          <w:rFonts w:ascii="Times" w:eastAsia="Times" w:hAnsi="Times"/>
          <w:color w:val="333399"/>
          <w:sz w:val="20"/>
          <w:szCs w:val="20"/>
        </w:rPr>
        <w:t xml:space="preserve"> </w:t>
      </w:r>
      <w:r w:rsidR="00F117C5">
        <w:rPr>
          <w:rFonts w:ascii="Times" w:eastAsia="Times" w:hAnsi="Times"/>
          <w:color w:val="333399"/>
          <w:sz w:val="20"/>
          <w:szCs w:val="20"/>
        </w:rPr>
        <w:t>and</w:t>
      </w:r>
      <w:r w:rsidR="00ED52B7" w:rsidRPr="00ED52B7">
        <w:rPr>
          <w:rFonts w:ascii="Times" w:eastAsia="Times" w:hAnsi="Times"/>
          <w:color w:val="333399"/>
          <w:sz w:val="20"/>
          <w:szCs w:val="20"/>
        </w:rPr>
        <w:t xml:space="preserve"> </w:t>
      </w:r>
      <w:r w:rsidR="00ED52B7">
        <w:rPr>
          <w:rFonts w:ascii="Times" w:eastAsia="Times" w:hAnsi="Times"/>
          <w:color w:val="333399"/>
          <w:sz w:val="20"/>
          <w:szCs w:val="20"/>
        </w:rPr>
        <w:t>judicial staff</w:t>
      </w:r>
      <w:r w:rsidR="00DA63A8">
        <w:rPr>
          <w:rFonts w:ascii="Times" w:eastAsia="Times" w:hAnsi="Times"/>
          <w:color w:val="333399"/>
          <w:sz w:val="20"/>
          <w:szCs w:val="20"/>
        </w:rPr>
        <w:t xml:space="preserve">.  </w:t>
      </w:r>
      <w:r w:rsidR="00BA5DE9" w:rsidRPr="00FD489D">
        <w:rPr>
          <w:rFonts w:ascii="Times" w:eastAsia="Times" w:hAnsi="Times"/>
          <w:color w:val="333399"/>
          <w:sz w:val="20"/>
          <w:szCs w:val="20"/>
        </w:rPr>
        <w:t xml:space="preserve">This project involved the removal of </w:t>
      </w:r>
      <w:r w:rsidR="0041515D" w:rsidRPr="00FD489D">
        <w:rPr>
          <w:rFonts w:ascii="Times" w:eastAsia="Times" w:hAnsi="Times"/>
          <w:color w:val="333399"/>
          <w:sz w:val="20"/>
          <w:szCs w:val="20"/>
        </w:rPr>
        <w:t xml:space="preserve">two </w:t>
      </w:r>
      <w:r w:rsidR="00BA5DE9" w:rsidRPr="00FD489D">
        <w:rPr>
          <w:rFonts w:ascii="Times" w:eastAsia="Times" w:hAnsi="Times"/>
          <w:color w:val="333399"/>
          <w:sz w:val="20"/>
          <w:szCs w:val="20"/>
        </w:rPr>
        <w:t>1960’s era Trane chillers</w:t>
      </w:r>
      <w:r w:rsidR="00DF60B5" w:rsidRPr="00FD489D">
        <w:rPr>
          <w:rFonts w:ascii="Times" w:eastAsia="Times" w:hAnsi="Times"/>
          <w:color w:val="333399"/>
          <w:sz w:val="20"/>
          <w:szCs w:val="20"/>
        </w:rPr>
        <w:t>,</w:t>
      </w:r>
      <w:r w:rsidR="00BA5DE9" w:rsidRPr="00FD489D">
        <w:rPr>
          <w:rFonts w:ascii="Times" w:eastAsia="Times" w:hAnsi="Times"/>
          <w:color w:val="333399"/>
          <w:sz w:val="20"/>
          <w:szCs w:val="20"/>
        </w:rPr>
        <w:t xml:space="preserve"> cooling towers</w:t>
      </w:r>
      <w:r w:rsidR="00DF60B5" w:rsidRPr="00FD489D">
        <w:rPr>
          <w:rFonts w:ascii="Times" w:eastAsia="Times" w:hAnsi="Times"/>
          <w:color w:val="333399"/>
          <w:sz w:val="20"/>
          <w:szCs w:val="20"/>
        </w:rPr>
        <w:t>,</w:t>
      </w:r>
      <w:r w:rsidR="0041515D" w:rsidRPr="00FD489D">
        <w:rPr>
          <w:rFonts w:ascii="Times" w:eastAsia="Times" w:hAnsi="Times"/>
          <w:color w:val="333399"/>
          <w:sz w:val="20"/>
          <w:szCs w:val="20"/>
        </w:rPr>
        <w:t xml:space="preserve"> </w:t>
      </w:r>
      <w:r w:rsidR="00BA5DE9" w:rsidRPr="00FD489D">
        <w:rPr>
          <w:rFonts w:ascii="Times" w:eastAsia="Times" w:hAnsi="Times"/>
          <w:color w:val="333399"/>
          <w:sz w:val="20"/>
          <w:szCs w:val="20"/>
        </w:rPr>
        <w:t xml:space="preserve">replacement of 30 year old fan coil units and </w:t>
      </w:r>
      <w:r w:rsidR="0041515D" w:rsidRPr="00FD489D">
        <w:rPr>
          <w:rFonts w:ascii="Times" w:eastAsia="Times" w:hAnsi="Times"/>
          <w:color w:val="333399"/>
          <w:sz w:val="20"/>
          <w:szCs w:val="20"/>
        </w:rPr>
        <w:t>all</w:t>
      </w:r>
      <w:r w:rsidR="00BA5DE9" w:rsidRPr="00FD489D">
        <w:rPr>
          <w:rFonts w:ascii="Times" w:eastAsia="Times" w:hAnsi="Times"/>
          <w:color w:val="333399"/>
          <w:sz w:val="20"/>
          <w:szCs w:val="20"/>
        </w:rPr>
        <w:t xml:space="preserve"> associated piping</w:t>
      </w:r>
      <w:r w:rsidR="00A661D0" w:rsidRPr="00FD489D">
        <w:rPr>
          <w:rFonts w:ascii="Times" w:eastAsia="Times" w:hAnsi="Times"/>
          <w:color w:val="333399"/>
          <w:sz w:val="20"/>
          <w:szCs w:val="20"/>
        </w:rPr>
        <w:t xml:space="preserve">. </w:t>
      </w:r>
      <w:r w:rsidR="00F117C5">
        <w:rPr>
          <w:rFonts w:ascii="Times" w:eastAsia="Times" w:hAnsi="Times"/>
          <w:color w:val="333399"/>
          <w:sz w:val="20"/>
          <w:szCs w:val="20"/>
        </w:rPr>
        <w:t xml:space="preserve">  </w:t>
      </w:r>
      <w:r w:rsidR="00DA63A8">
        <w:rPr>
          <w:rFonts w:ascii="Times" w:eastAsia="Times" w:hAnsi="Times"/>
          <w:color w:val="333399"/>
          <w:sz w:val="20"/>
          <w:szCs w:val="20"/>
        </w:rPr>
        <w:t xml:space="preserve">Performing all of these renovations produced logistical challenges because the Courthouse had </w:t>
      </w:r>
      <w:r w:rsidR="00F117C5">
        <w:rPr>
          <w:rFonts w:ascii="Times" w:eastAsia="Times" w:hAnsi="Times"/>
          <w:color w:val="333399"/>
          <w:sz w:val="20"/>
          <w:szCs w:val="20"/>
        </w:rPr>
        <w:t xml:space="preserve">to maintain full operational status </w:t>
      </w:r>
      <w:r w:rsidR="00D0465A">
        <w:rPr>
          <w:rFonts w:ascii="Times" w:eastAsia="Times" w:hAnsi="Times"/>
          <w:color w:val="333399"/>
          <w:sz w:val="20"/>
          <w:szCs w:val="20"/>
        </w:rPr>
        <w:t>and remain</w:t>
      </w:r>
      <w:r w:rsidR="00DA63A8">
        <w:rPr>
          <w:rFonts w:ascii="Times" w:eastAsia="Times" w:hAnsi="Times"/>
          <w:color w:val="333399"/>
          <w:sz w:val="20"/>
          <w:szCs w:val="20"/>
        </w:rPr>
        <w:t xml:space="preserve"> open </w:t>
      </w:r>
      <w:r w:rsidR="00F117C5">
        <w:rPr>
          <w:rFonts w:ascii="Times" w:eastAsia="Times" w:hAnsi="Times"/>
          <w:color w:val="333399"/>
          <w:sz w:val="20"/>
          <w:szCs w:val="20"/>
        </w:rPr>
        <w:t xml:space="preserve">to the public </w:t>
      </w:r>
      <w:r w:rsidR="00DA63A8">
        <w:rPr>
          <w:rFonts w:ascii="Times" w:eastAsia="Times" w:hAnsi="Times"/>
          <w:color w:val="333399"/>
          <w:sz w:val="20"/>
          <w:szCs w:val="20"/>
        </w:rPr>
        <w:t>the entire length of the project</w:t>
      </w:r>
      <w:r w:rsidR="00F117C5">
        <w:rPr>
          <w:rFonts w:ascii="Times" w:eastAsia="Times" w:hAnsi="Times"/>
          <w:color w:val="333399"/>
          <w:sz w:val="20"/>
          <w:szCs w:val="20"/>
        </w:rPr>
        <w:t xml:space="preserve">.  This entailed </w:t>
      </w:r>
      <w:r w:rsidR="00FE2906">
        <w:rPr>
          <w:rFonts w:ascii="Times" w:eastAsia="Times" w:hAnsi="Times"/>
          <w:color w:val="333399"/>
          <w:sz w:val="20"/>
          <w:szCs w:val="20"/>
        </w:rPr>
        <w:t xml:space="preserve">moving staff, </w:t>
      </w:r>
      <w:r w:rsidR="00F117C5">
        <w:rPr>
          <w:rFonts w:ascii="Times" w:eastAsia="Times" w:hAnsi="Times"/>
          <w:color w:val="333399"/>
          <w:sz w:val="20"/>
          <w:szCs w:val="20"/>
        </w:rPr>
        <w:t xml:space="preserve">work stations, </w:t>
      </w:r>
      <w:r w:rsidR="00FE2906">
        <w:rPr>
          <w:rFonts w:ascii="Times" w:eastAsia="Times" w:hAnsi="Times"/>
          <w:color w:val="333399"/>
          <w:sz w:val="20"/>
          <w:szCs w:val="20"/>
        </w:rPr>
        <w:t xml:space="preserve">office equipment, security screening areas, construction equipment all prior to </w:t>
      </w:r>
      <w:r w:rsidR="00F117C5">
        <w:rPr>
          <w:rFonts w:ascii="Times" w:eastAsia="Times" w:hAnsi="Times"/>
          <w:color w:val="333399"/>
          <w:sz w:val="20"/>
          <w:szCs w:val="20"/>
        </w:rPr>
        <w:t>opening the building every day.  Additional challenges involved the administration of grant monies</w:t>
      </w:r>
      <w:r w:rsidR="007059F5">
        <w:rPr>
          <w:rFonts w:ascii="Times" w:eastAsia="Times" w:hAnsi="Times"/>
          <w:color w:val="333399"/>
          <w:sz w:val="20"/>
          <w:szCs w:val="20"/>
        </w:rPr>
        <w:t xml:space="preserve"> awarded</w:t>
      </w:r>
      <w:r w:rsidR="00012EF3">
        <w:rPr>
          <w:rFonts w:ascii="Times" w:eastAsia="Times" w:hAnsi="Times"/>
          <w:color w:val="333399"/>
          <w:sz w:val="20"/>
          <w:szCs w:val="20"/>
        </w:rPr>
        <w:t xml:space="preserve"> by adhering to the Davis-Bacon Act</w:t>
      </w:r>
      <w:r w:rsidR="006E2DAD">
        <w:rPr>
          <w:rFonts w:ascii="Times" w:eastAsia="Times" w:hAnsi="Times"/>
          <w:color w:val="333399"/>
          <w:sz w:val="20"/>
          <w:szCs w:val="20"/>
        </w:rPr>
        <w:t>’s</w:t>
      </w:r>
      <w:r w:rsidR="00012EF3">
        <w:rPr>
          <w:rFonts w:ascii="Times" w:eastAsia="Times" w:hAnsi="Times"/>
          <w:color w:val="333399"/>
          <w:sz w:val="20"/>
          <w:szCs w:val="20"/>
        </w:rPr>
        <w:t xml:space="preserve"> </w:t>
      </w:r>
      <w:r w:rsidR="006E2DAD">
        <w:rPr>
          <w:rFonts w:ascii="Times" w:eastAsia="Times" w:hAnsi="Times"/>
          <w:color w:val="333399"/>
          <w:sz w:val="20"/>
          <w:szCs w:val="20"/>
        </w:rPr>
        <w:t xml:space="preserve">payroll and employee interviewing processing </w:t>
      </w:r>
      <w:r w:rsidR="00012EF3">
        <w:rPr>
          <w:rFonts w:ascii="Times" w:eastAsia="Times" w:hAnsi="Times"/>
          <w:color w:val="333399"/>
          <w:sz w:val="20"/>
          <w:szCs w:val="20"/>
        </w:rPr>
        <w:t xml:space="preserve">requirements.  </w:t>
      </w:r>
      <w:r w:rsidR="000432A4" w:rsidRPr="00FD489D">
        <w:rPr>
          <w:rFonts w:ascii="Times" w:eastAsia="Times" w:hAnsi="Times"/>
          <w:color w:val="333399"/>
          <w:sz w:val="20"/>
          <w:szCs w:val="20"/>
        </w:rPr>
        <w:t xml:space="preserve">The project </w:t>
      </w:r>
      <w:r w:rsidR="006E2DAD">
        <w:rPr>
          <w:rFonts w:ascii="Times" w:eastAsia="Times" w:hAnsi="Times"/>
          <w:color w:val="333399"/>
          <w:sz w:val="20"/>
          <w:szCs w:val="20"/>
        </w:rPr>
        <w:t xml:space="preserve">was </w:t>
      </w:r>
      <w:r w:rsidR="006E2DAD">
        <w:rPr>
          <w:rFonts w:ascii="Times" w:eastAsia="Times" w:hAnsi="Times"/>
          <w:color w:val="333399"/>
          <w:sz w:val="20"/>
          <w:szCs w:val="20"/>
        </w:rPr>
        <w:lastRenderedPageBreak/>
        <w:t>very successful resulting</w:t>
      </w:r>
      <w:r w:rsidR="000432A4" w:rsidRPr="00FD489D">
        <w:rPr>
          <w:rFonts w:ascii="Times" w:eastAsia="Times" w:hAnsi="Times"/>
          <w:color w:val="333399"/>
          <w:sz w:val="20"/>
          <w:szCs w:val="20"/>
        </w:rPr>
        <w:t xml:space="preserve"> in a modern</w:t>
      </w:r>
      <w:r w:rsidR="006E2DAD">
        <w:rPr>
          <w:rFonts w:ascii="Times" w:eastAsia="Times" w:hAnsi="Times"/>
          <w:color w:val="333399"/>
          <w:sz w:val="20"/>
          <w:szCs w:val="20"/>
        </w:rPr>
        <w:t>ly</w:t>
      </w:r>
      <w:r w:rsidR="000432A4" w:rsidRPr="00FD489D">
        <w:rPr>
          <w:rFonts w:ascii="Times" w:eastAsia="Times" w:hAnsi="Times"/>
          <w:color w:val="333399"/>
          <w:sz w:val="20"/>
          <w:szCs w:val="20"/>
        </w:rPr>
        <w:t xml:space="preserve"> efficient mechanical system </w:t>
      </w:r>
      <w:r w:rsidR="006E2DAD">
        <w:rPr>
          <w:rFonts w:ascii="Times" w:eastAsia="Times" w:hAnsi="Times"/>
          <w:color w:val="333399"/>
          <w:sz w:val="20"/>
          <w:szCs w:val="20"/>
        </w:rPr>
        <w:t>controlling</w:t>
      </w:r>
      <w:r w:rsidR="000432A4" w:rsidRPr="00FD489D">
        <w:rPr>
          <w:rFonts w:ascii="Times" w:eastAsia="Times" w:hAnsi="Times"/>
          <w:color w:val="333399"/>
          <w:sz w:val="20"/>
          <w:szCs w:val="20"/>
        </w:rPr>
        <w:t xml:space="preserve"> temperature and humidity accurately</w:t>
      </w:r>
      <w:r w:rsidR="00A816C8">
        <w:rPr>
          <w:rFonts w:ascii="Times" w:eastAsia="Times" w:hAnsi="Times"/>
          <w:color w:val="333399"/>
          <w:sz w:val="20"/>
          <w:szCs w:val="20"/>
        </w:rPr>
        <w:t>.</w:t>
      </w:r>
      <w:r w:rsidR="000432A4" w:rsidRPr="00FD489D">
        <w:rPr>
          <w:rFonts w:ascii="Times" w:eastAsia="Times" w:hAnsi="Times"/>
          <w:color w:val="333399"/>
          <w:sz w:val="20"/>
          <w:szCs w:val="20"/>
        </w:rPr>
        <w:t xml:space="preserve"> </w:t>
      </w:r>
      <w:r w:rsidR="006E2DAD">
        <w:rPr>
          <w:rFonts w:ascii="Times" w:eastAsia="Times" w:hAnsi="Times"/>
          <w:color w:val="333399"/>
          <w:sz w:val="20"/>
          <w:szCs w:val="20"/>
        </w:rPr>
        <w:t xml:space="preserve">By these </w:t>
      </w:r>
      <w:r w:rsidR="00A816C8">
        <w:rPr>
          <w:rFonts w:ascii="Times" w:eastAsia="Times" w:hAnsi="Times"/>
          <w:color w:val="333399"/>
          <w:sz w:val="20"/>
          <w:szCs w:val="20"/>
        </w:rPr>
        <w:t xml:space="preserve">successful </w:t>
      </w:r>
      <w:r w:rsidR="006E2DAD">
        <w:rPr>
          <w:rFonts w:ascii="Times" w:eastAsia="Times" w:hAnsi="Times"/>
          <w:color w:val="333399"/>
          <w:sz w:val="20"/>
          <w:szCs w:val="20"/>
        </w:rPr>
        <w:t xml:space="preserve">efforts the Historical Courthouse is </w:t>
      </w:r>
      <w:r w:rsidR="001F213D">
        <w:rPr>
          <w:rFonts w:ascii="Times" w:eastAsia="Times" w:hAnsi="Times"/>
          <w:color w:val="333399"/>
          <w:sz w:val="20"/>
          <w:szCs w:val="20"/>
        </w:rPr>
        <w:t xml:space="preserve">eligible for </w:t>
      </w:r>
      <w:r w:rsidR="006E2DAD">
        <w:rPr>
          <w:rFonts w:ascii="Times" w:eastAsia="Times" w:hAnsi="Times"/>
          <w:color w:val="333399"/>
          <w:sz w:val="20"/>
          <w:szCs w:val="20"/>
        </w:rPr>
        <w:t>an Energy Star facility.</w:t>
      </w:r>
    </w:p>
    <w:p w:rsidR="00CA7210" w:rsidRDefault="006E7615" w:rsidP="00FD489D">
      <w:pPr>
        <w:jc w:val="both"/>
        <w:rPr>
          <w:rFonts w:ascii="Times" w:eastAsia="Times" w:hAnsi="Times"/>
          <w:color w:val="333399"/>
          <w:sz w:val="20"/>
          <w:szCs w:val="20"/>
        </w:rPr>
      </w:pPr>
      <w:r w:rsidRPr="00FD489D">
        <w:rPr>
          <w:rFonts w:ascii="Times" w:eastAsia="Times" w:hAnsi="Times"/>
          <w:color w:val="333399"/>
          <w:sz w:val="20"/>
          <w:szCs w:val="20"/>
        </w:rPr>
        <w:t xml:space="preserve">It is with </w:t>
      </w:r>
      <w:r w:rsidR="008160CF">
        <w:rPr>
          <w:rFonts w:ascii="Times" w:eastAsia="Times" w:hAnsi="Times"/>
          <w:color w:val="333399"/>
          <w:sz w:val="20"/>
          <w:szCs w:val="20"/>
        </w:rPr>
        <w:t xml:space="preserve">enormous </w:t>
      </w:r>
      <w:r w:rsidRPr="00FD489D">
        <w:rPr>
          <w:rFonts w:ascii="Times" w:eastAsia="Times" w:hAnsi="Times"/>
          <w:color w:val="333399"/>
          <w:sz w:val="20"/>
          <w:szCs w:val="20"/>
        </w:rPr>
        <w:t xml:space="preserve">pride and dedication </w:t>
      </w:r>
      <w:r w:rsidR="008E45F8">
        <w:rPr>
          <w:rFonts w:ascii="Times" w:eastAsia="Times" w:hAnsi="Times"/>
          <w:color w:val="333399"/>
          <w:sz w:val="20"/>
          <w:szCs w:val="20"/>
        </w:rPr>
        <w:t>PMET</w:t>
      </w:r>
      <w:r w:rsidRPr="00FD489D">
        <w:rPr>
          <w:rFonts w:ascii="Times" w:eastAsia="Times" w:hAnsi="Times"/>
          <w:color w:val="333399"/>
          <w:sz w:val="20"/>
          <w:szCs w:val="20"/>
        </w:rPr>
        <w:t xml:space="preserve"> </w:t>
      </w:r>
      <w:r w:rsidR="00DE3CE1" w:rsidRPr="00FD489D">
        <w:rPr>
          <w:rFonts w:ascii="Times" w:eastAsia="Times" w:hAnsi="Times"/>
          <w:color w:val="333399"/>
          <w:sz w:val="20"/>
          <w:szCs w:val="20"/>
        </w:rPr>
        <w:t>pursues</w:t>
      </w:r>
      <w:r w:rsidRPr="00FD489D">
        <w:rPr>
          <w:rFonts w:ascii="Times" w:eastAsia="Times" w:hAnsi="Times"/>
          <w:color w:val="333399"/>
          <w:sz w:val="20"/>
          <w:szCs w:val="20"/>
        </w:rPr>
        <w:t xml:space="preserve"> every avenue available in </w:t>
      </w:r>
      <w:r w:rsidR="00A20A39" w:rsidRPr="00FD489D">
        <w:rPr>
          <w:rFonts w:ascii="Times" w:eastAsia="Times" w:hAnsi="Times"/>
          <w:color w:val="333399"/>
          <w:sz w:val="20"/>
          <w:szCs w:val="20"/>
        </w:rPr>
        <w:t>an</w:t>
      </w:r>
      <w:r w:rsidRPr="00FD489D">
        <w:rPr>
          <w:rFonts w:ascii="Times" w:eastAsia="Times" w:hAnsi="Times"/>
          <w:color w:val="333399"/>
          <w:sz w:val="20"/>
          <w:szCs w:val="20"/>
        </w:rPr>
        <w:t xml:space="preserve"> ongoing </w:t>
      </w:r>
      <w:r w:rsidR="00DE3CE1" w:rsidRPr="00FD489D">
        <w:rPr>
          <w:rFonts w:ascii="Times" w:eastAsia="Times" w:hAnsi="Times"/>
          <w:color w:val="333399"/>
          <w:sz w:val="20"/>
          <w:szCs w:val="20"/>
        </w:rPr>
        <w:t>effort</w:t>
      </w:r>
      <w:r w:rsidRPr="00FD489D">
        <w:rPr>
          <w:rFonts w:ascii="Times" w:eastAsia="Times" w:hAnsi="Times"/>
          <w:color w:val="333399"/>
          <w:sz w:val="20"/>
          <w:szCs w:val="20"/>
        </w:rPr>
        <w:t xml:space="preserve"> to reduce </w:t>
      </w:r>
      <w:r w:rsidR="00DE3CE1" w:rsidRPr="00FD489D">
        <w:rPr>
          <w:rFonts w:ascii="Times" w:eastAsia="Times" w:hAnsi="Times"/>
          <w:color w:val="333399"/>
          <w:sz w:val="20"/>
          <w:szCs w:val="20"/>
        </w:rPr>
        <w:t>utility</w:t>
      </w:r>
      <w:r w:rsidRPr="00FD489D">
        <w:rPr>
          <w:rFonts w:ascii="Times" w:eastAsia="Times" w:hAnsi="Times"/>
          <w:color w:val="333399"/>
          <w:sz w:val="20"/>
          <w:szCs w:val="20"/>
        </w:rPr>
        <w:t xml:space="preserve"> costs and other energy related expenses for the betterment of </w:t>
      </w:r>
      <w:r w:rsidR="008E45F8">
        <w:rPr>
          <w:rFonts w:ascii="Times" w:eastAsia="Times" w:hAnsi="Times"/>
          <w:color w:val="333399"/>
          <w:sz w:val="20"/>
          <w:szCs w:val="20"/>
        </w:rPr>
        <w:t>the</w:t>
      </w:r>
      <w:r w:rsidRPr="00FD489D">
        <w:rPr>
          <w:rFonts w:ascii="Times" w:eastAsia="Times" w:hAnsi="Times"/>
          <w:color w:val="333399"/>
          <w:sz w:val="20"/>
          <w:szCs w:val="20"/>
        </w:rPr>
        <w:t xml:space="preserve"> community.  Building a sustainable energy </w:t>
      </w:r>
      <w:r w:rsidR="00E14725" w:rsidRPr="00FD489D">
        <w:rPr>
          <w:rFonts w:ascii="Times" w:eastAsia="Times" w:hAnsi="Times"/>
          <w:color w:val="333399"/>
          <w:sz w:val="20"/>
          <w:szCs w:val="20"/>
        </w:rPr>
        <w:t>governmental</w:t>
      </w:r>
      <w:r w:rsidRPr="00FD489D">
        <w:rPr>
          <w:rFonts w:ascii="Times" w:eastAsia="Times" w:hAnsi="Times"/>
          <w:color w:val="333399"/>
          <w:sz w:val="20"/>
          <w:szCs w:val="20"/>
        </w:rPr>
        <w:t xml:space="preserve"> organizat</w:t>
      </w:r>
      <w:r w:rsidR="001431E0" w:rsidRPr="00FD489D">
        <w:rPr>
          <w:rFonts w:ascii="Times" w:eastAsia="Times" w:hAnsi="Times"/>
          <w:color w:val="333399"/>
          <w:sz w:val="20"/>
          <w:szCs w:val="20"/>
        </w:rPr>
        <w:t xml:space="preserve">ion is </w:t>
      </w:r>
      <w:r w:rsidR="00492E44">
        <w:rPr>
          <w:rFonts w:ascii="Times" w:eastAsia="Times" w:hAnsi="Times"/>
          <w:color w:val="333399"/>
          <w:sz w:val="20"/>
          <w:szCs w:val="20"/>
        </w:rPr>
        <w:t>the</w:t>
      </w:r>
      <w:r w:rsidR="001431E0" w:rsidRPr="00FD489D">
        <w:rPr>
          <w:rFonts w:ascii="Times" w:eastAsia="Times" w:hAnsi="Times"/>
          <w:color w:val="333399"/>
          <w:sz w:val="20"/>
          <w:szCs w:val="20"/>
        </w:rPr>
        <w:t xml:space="preserve"> overriding objective</w:t>
      </w:r>
      <w:r w:rsidR="000A58D0" w:rsidRPr="00FD489D">
        <w:rPr>
          <w:rFonts w:ascii="Times" w:eastAsia="Times" w:hAnsi="Times"/>
          <w:color w:val="333399"/>
          <w:sz w:val="20"/>
          <w:szCs w:val="20"/>
        </w:rPr>
        <w:t>.</w:t>
      </w:r>
      <w:r w:rsidRPr="00FD489D">
        <w:rPr>
          <w:rFonts w:ascii="Times" w:eastAsia="Times" w:hAnsi="Times"/>
          <w:color w:val="333399"/>
          <w:sz w:val="20"/>
          <w:szCs w:val="20"/>
        </w:rPr>
        <w:t xml:space="preserve"> </w:t>
      </w:r>
      <w:r w:rsidR="00DF60B5" w:rsidRPr="00FD489D">
        <w:rPr>
          <w:rFonts w:ascii="Times" w:eastAsia="Times" w:hAnsi="Times"/>
          <w:color w:val="333399"/>
          <w:sz w:val="20"/>
          <w:szCs w:val="20"/>
        </w:rPr>
        <w:t xml:space="preserve">This year Manatee County will contract for over </w:t>
      </w:r>
      <w:r w:rsidR="00492E44">
        <w:rPr>
          <w:rFonts w:ascii="Times" w:eastAsia="Times" w:hAnsi="Times"/>
          <w:color w:val="333399"/>
          <w:sz w:val="20"/>
          <w:szCs w:val="20"/>
        </w:rPr>
        <w:t>$</w:t>
      </w:r>
      <w:r w:rsidR="0009680F">
        <w:rPr>
          <w:rFonts w:ascii="Times" w:eastAsia="Times" w:hAnsi="Times"/>
          <w:color w:val="333399"/>
          <w:sz w:val="20"/>
          <w:szCs w:val="20"/>
        </w:rPr>
        <w:t>26</w:t>
      </w:r>
      <w:r w:rsidR="00492E44">
        <w:rPr>
          <w:rFonts w:ascii="Times" w:eastAsia="Times" w:hAnsi="Times"/>
          <w:color w:val="333399"/>
          <w:sz w:val="20"/>
          <w:szCs w:val="20"/>
        </w:rPr>
        <w:t>,000,000</w:t>
      </w:r>
      <w:r w:rsidR="00DF60B5" w:rsidRPr="00FD489D">
        <w:rPr>
          <w:rFonts w:ascii="Times" w:eastAsia="Times" w:hAnsi="Times"/>
          <w:color w:val="333399"/>
          <w:sz w:val="20"/>
          <w:szCs w:val="20"/>
        </w:rPr>
        <w:t xml:space="preserve"> million dollars in </w:t>
      </w:r>
      <w:r w:rsidR="00DF63C8" w:rsidRPr="00FD489D">
        <w:rPr>
          <w:rFonts w:ascii="Times" w:eastAsia="Times" w:hAnsi="Times"/>
          <w:color w:val="333399"/>
          <w:sz w:val="20"/>
          <w:szCs w:val="20"/>
        </w:rPr>
        <w:t>performance</w:t>
      </w:r>
      <w:r w:rsidR="00DF60B5" w:rsidRPr="00FD489D">
        <w:rPr>
          <w:rFonts w:ascii="Times" w:eastAsia="Times" w:hAnsi="Times"/>
          <w:color w:val="333399"/>
          <w:sz w:val="20"/>
          <w:szCs w:val="20"/>
        </w:rPr>
        <w:t xml:space="preserve"> based energy services.  </w:t>
      </w:r>
      <w:r w:rsidR="001F213D">
        <w:rPr>
          <w:rFonts w:ascii="Times" w:eastAsia="Times" w:hAnsi="Times"/>
          <w:color w:val="333399"/>
          <w:sz w:val="20"/>
          <w:szCs w:val="20"/>
        </w:rPr>
        <w:t>Future energy savings</w:t>
      </w:r>
      <w:r w:rsidR="00083C65" w:rsidRPr="001F213D">
        <w:rPr>
          <w:rFonts w:ascii="Times" w:eastAsia="Times" w:hAnsi="Times"/>
          <w:color w:val="333399"/>
          <w:sz w:val="20"/>
          <w:szCs w:val="20"/>
        </w:rPr>
        <w:t xml:space="preserve"> will also create a sustainability fund</w:t>
      </w:r>
      <w:r w:rsidR="00DF60B5" w:rsidRPr="001F213D">
        <w:rPr>
          <w:rFonts w:ascii="Times" w:eastAsia="Times" w:hAnsi="Times"/>
          <w:color w:val="333399"/>
          <w:sz w:val="20"/>
          <w:szCs w:val="20"/>
        </w:rPr>
        <w:t xml:space="preserve"> that will be used to continue to reduce o</w:t>
      </w:r>
      <w:r w:rsidR="008B371D" w:rsidRPr="001F213D">
        <w:rPr>
          <w:rFonts w:ascii="Times" w:eastAsia="Times" w:hAnsi="Times"/>
          <w:color w:val="333399"/>
          <w:sz w:val="20"/>
          <w:szCs w:val="20"/>
        </w:rPr>
        <w:t>ur</w:t>
      </w:r>
      <w:r w:rsidR="00DF60B5" w:rsidRPr="001F213D">
        <w:rPr>
          <w:rFonts w:ascii="Times" w:eastAsia="Times" w:hAnsi="Times"/>
          <w:color w:val="333399"/>
          <w:sz w:val="20"/>
          <w:szCs w:val="20"/>
        </w:rPr>
        <w:t xml:space="preserve"> energy expenses.</w:t>
      </w:r>
      <w:r w:rsidR="00DF60B5" w:rsidRPr="00FD489D">
        <w:rPr>
          <w:rFonts w:ascii="Times" w:eastAsia="Times" w:hAnsi="Times"/>
          <w:color w:val="333399"/>
          <w:sz w:val="20"/>
          <w:szCs w:val="20"/>
        </w:rPr>
        <w:t xml:space="preserve"> </w:t>
      </w:r>
      <w:r w:rsidR="00887EC6">
        <w:rPr>
          <w:rFonts w:ascii="Times" w:eastAsia="Times" w:hAnsi="Times"/>
          <w:color w:val="333399"/>
          <w:sz w:val="20"/>
          <w:szCs w:val="20"/>
        </w:rPr>
        <w:t xml:space="preserve"> </w:t>
      </w:r>
    </w:p>
    <w:p w:rsidR="008B1BF8" w:rsidRDefault="008B1BF8" w:rsidP="00FD489D">
      <w:pPr>
        <w:jc w:val="both"/>
        <w:rPr>
          <w:rFonts w:ascii="Times" w:eastAsia="Times" w:hAnsi="Times"/>
          <w:color w:val="333399"/>
          <w:sz w:val="20"/>
          <w:szCs w:val="20"/>
        </w:rPr>
      </w:pPr>
      <w:r>
        <w:rPr>
          <w:rFonts w:ascii="Times" w:eastAsia="Times" w:hAnsi="Times"/>
          <w:color w:val="333399"/>
          <w:sz w:val="20"/>
          <w:szCs w:val="20"/>
        </w:rPr>
        <w:t>The</w:t>
      </w:r>
      <w:r w:rsidR="00CA7210">
        <w:rPr>
          <w:rFonts w:ascii="Times" w:eastAsia="Times" w:hAnsi="Times"/>
          <w:color w:val="333399"/>
          <w:sz w:val="20"/>
          <w:szCs w:val="20"/>
        </w:rPr>
        <w:t>se</w:t>
      </w:r>
      <w:r>
        <w:rPr>
          <w:rFonts w:ascii="Times" w:eastAsia="Times" w:hAnsi="Times"/>
          <w:color w:val="333399"/>
          <w:sz w:val="20"/>
          <w:szCs w:val="20"/>
        </w:rPr>
        <w:t xml:space="preserve"> </w:t>
      </w:r>
      <w:r w:rsidR="00CA7210">
        <w:rPr>
          <w:rFonts w:ascii="Times" w:eastAsia="Times" w:hAnsi="Times"/>
          <w:color w:val="333399"/>
          <w:sz w:val="20"/>
          <w:szCs w:val="20"/>
        </w:rPr>
        <w:t>innovative energy sustainable initiatives</w:t>
      </w:r>
      <w:r w:rsidR="006E7615" w:rsidRPr="00FD489D">
        <w:rPr>
          <w:rFonts w:ascii="Times" w:eastAsia="Times" w:hAnsi="Times"/>
          <w:color w:val="333399"/>
          <w:sz w:val="20"/>
          <w:szCs w:val="20"/>
        </w:rPr>
        <w:t xml:space="preserve"> could not have been undertaken or realized without the support, understanding, and respect o</w:t>
      </w:r>
      <w:r w:rsidR="00DF60B5" w:rsidRPr="00FD489D">
        <w:rPr>
          <w:rFonts w:ascii="Times" w:eastAsia="Times" w:hAnsi="Times"/>
          <w:color w:val="333399"/>
          <w:sz w:val="20"/>
          <w:szCs w:val="20"/>
        </w:rPr>
        <w:t>f</w:t>
      </w:r>
      <w:r w:rsidR="006E7615" w:rsidRPr="00FD489D">
        <w:rPr>
          <w:rFonts w:ascii="Times" w:eastAsia="Times" w:hAnsi="Times"/>
          <w:color w:val="333399"/>
          <w:sz w:val="20"/>
          <w:szCs w:val="20"/>
        </w:rPr>
        <w:t xml:space="preserve"> </w:t>
      </w:r>
      <w:r w:rsidR="00CA7210">
        <w:rPr>
          <w:rFonts w:ascii="Times" w:eastAsia="Times" w:hAnsi="Times"/>
          <w:color w:val="333399"/>
          <w:sz w:val="20"/>
          <w:szCs w:val="20"/>
        </w:rPr>
        <w:t>the</w:t>
      </w:r>
      <w:r w:rsidR="006E7615" w:rsidRPr="00FD489D">
        <w:rPr>
          <w:rFonts w:ascii="Times" w:eastAsia="Times" w:hAnsi="Times"/>
          <w:color w:val="333399"/>
          <w:sz w:val="20"/>
          <w:szCs w:val="20"/>
        </w:rPr>
        <w:t xml:space="preserve"> </w:t>
      </w:r>
      <w:r w:rsidR="00CA7210" w:rsidRPr="00FD489D">
        <w:rPr>
          <w:rFonts w:ascii="Times" w:eastAsia="Times" w:hAnsi="Times"/>
          <w:color w:val="333399"/>
          <w:sz w:val="20"/>
          <w:szCs w:val="20"/>
        </w:rPr>
        <w:t>Board of County Commissioners</w:t>
      </w:r>
      <w:r w:rsidR="00CA7210">
        <w:rPr>
          <w:rFonts w:ascii="Times" w:eastAsia="Times" w:hAnsi="Times"/>
          <w:color w:val="333399"/>
          <w:sz w:val="20"/>
          <w:szCs w:val="20"/>
        </w:rPr>
        <w:t xml:space="preserve">, </w:t>
      </w:r>
      <w:r w:rsidR="006E7615" w:rsidRPr="00FD489D">
        <w:rPr>
          <w:rFonts w:ascii="Times" w:eastAsia="Times" w:hAnsi="Times"/>
          <w:color w:val="333399"/>
          <w:sz w:val="20"/>
          <w:szCs w:val="20"/>
        </w:rPr>
        <w:t xml:space="preserve">administrative leadership team and </w:t>
      </w:r>
      <w:r w:rsidR="00D30126">
        <w:rPr>
          <w:rFonts w:ascii="Times" w:eastAsia="Times" w:hAnsi="Times"/>
          <w:color w:val="333399"/>
          <w:sz w:val="20"/>
          <w:szCs w:val="20"/>
        </w:rPr>
        <w:t xml:space="preserve">fellow </w:t>
      </w:r>
      <w:r w:rsidR="00642B5F">
        <w:rPr>
          <w:rFonts w:ascii="Times" w:eastAsia="Times" w:hAnsi="Times"/>
          <w:color w:val="333399"/>
          <w:sz w:val="20"/>
          <w:szCs w:val="20"/>
        </w:rPr>
        <w:t xml:space="preserve">County </w:t>
      </w:r>
      <w:r w:rsidR="00D30126">
        <w:rPr>
          <w:rFonts w:ascii="Times" w:eastAsia="Times" w:hAnsi="Times"/>
          <w:color w:val="333399"/>
          <w:sz w:val="20"/>
          <w:szCs w:val="20"/>
        </w:rPr>
        <w:t>employees</w:t>
      </w:r>
      <w:r w:rsidR="006E7615" w:rsidRPr="00FD489D">
        <w:rPr>
          <w:rFonts w:ascii="Times" w:eastAsia="Times" w:hAnsi="Times"/>
          <w:color w:val="333399"/>
          <w:sz w:val="20"/>
          <w:szCs w:val="20"/>
        </w:rPr>
        <w:t>.</w:t>
      </w:r>
      <w:r w:rsidR="00D30126">
        <w:rPr>
          <w:rFonts w:ascii="Times" w:eastAsia="Times" w:hAnsi="Times"/>
          <w:color w:val="333399"/>
          <w:sz w:val="20"/>
          <w:szCs w:val="20"/>
        </w:rPr>
        <w:t xml:space="preserve">  Through all of </w:t>
      </w:r>
      <w:r w:rsidR="00642B5F">
        <w:rPr>
          <w:rFonts w:ascii="Times" w:eastAsia="Times" w:hAnsi="Times"/>
          <w:color w:val="333399"/>
          <w:sz w:val="20"/>
          <w:szCs w:val="20"/>
        </w:rPr>
        <w:t xml:space="preserve">these </w:t>
      </w:r>
      <w:r w:rsidR="00B07074">
        <w:rPr>
          <w:rFonts w:ascii="Times" w:eastAsia="Times" w:hAnsi="Times"/>
          <w:color w:val="333399"/>
          <w:sz w:val="20"/>
          <w:szCs w:val="20"/>
        </w:rPr>
        <w:t>collaborative</w:t>
      </w:r>
      <w:r w:rsidR="00D30126">
        <w:rPr>
          <w:rFonts w:ascii="Times" w:eastAsia="Times" w:hAnsi="Times"/>
          <w:color w:val="333399"/>
          <w:sz w:val="20"/>
          <w:szCs w:val="20"/>
        </w:rPr>
        <w:t xml:space="preserve"> efforts</w:t>
      </w:r>
      <w:r w:rsidR="006E7615" w:rsidRPr="00FD489D">
        <w:rPr>
          <w:rFonts w:ascii="Times" w:eastAsia="Times" w:hAnsi="Times"/>
          <w:color w:val="333399"/>
          <w:sz w:val="20"/>
          <w:szCs w:val="20"/>
        </w:rPr>
        <w:t xml:space="preserve"> </w:t>
      </w:r>
      <w:r w:rsidR="00642B5F">
        <w:rPr>
          <w:rFonts w:ascii="Times" w:eastAsia="Times" w:hAnsi="Times"/>
          <w:color w:val="333399"/>
          <w:sz w:val="20"/>
          <w:szCs w:val="20"/>
        </w:rPr>
        <w:t xml:space="preserve">the </w:t>
      </w:r>
      <w:r w:rsidR="00642B5F" w:rsidRPr="00FD489D">
        <w:rPr>
          <w:rFonts w:ascii="Times" w:eastAsia="Times" w:hAnsi="Times"/>
          <w:color w:val="333399"/>
          <w:sz w:val="20"/>
          <w:szCs w:val="20"/>
        </w:rPr>
        <w:t>first salary increase in over five years</w:t>
      </w:r>
      <w:r w:rsidR="00642B5F">
        <w:rPr>
          <w:rFonts w:ascii="Times" w:eastAsia="Times" w:hAnsi="Times"/>
          <w:color w:val="333399"/>
          <w:sz w:val="20"/>
          <w:szCs w:val="20"/>
        </w:rPr>
        <w:t xml:space="preserve"> </w:t>
      </w:r>
      <w:r w:rsidR="008E4479">
        <w:rPr>
          <w:rFonts w:ascii="Times" w:eastAsia="Times" w:hAnsi="Times"/>
          <w:color w:val="333399"/>
          <w:sz w:val="20"/>
          <w:szCs w:val="20"/>
        </w:rPr>
        <w:t xml:space="preserve">was </w:t>
      </w:r>
      <w:r>
        <w:rPr>
          <w:rFonts w:ascii="Times" w:eastAsia="Times" w:hAnsi="Times"/>
          <w:color w:val="333399"/>
          <w:sz w:val="20"/>
          <w:szCs w:val="20"/>
        </w:rPr>
        <w:t xml:space="preserve">awarded and the County </w:t>
      </w:r>
      <w:r w:rsidRPr="00FD489D">
        <w:rPr>
          <w:rFonts w:ascii="Times" w:eastAsia="Times" w:hAnsi="Times"/>
          <w:color w:val="333399"/>
          <w:sz w:val="20"/>
          <w:szCs w:val="20"/>
        </w:rPr>
        <w:t xml:space="preserve">is also on the verge of being awarded Gold Certification from the Florida Green Building Coalition.  </w:t>
      </w:r>
    </w:p>
    <w:p w:rsidR="006E7615" w:rsidRDefault="00F377FA" w:rsidP="00FD489D">
      <w:pPr>
        <w:jc w:val="both"/>
        <w:rPr>
          <w:rFonts w:ascii="Times" w:eastAsia="Times" w:hAnsi="Times"/>
          <w:color w:val="333399"/>
          <w:sz w:val="20"/>
          <w:szCs w:val="20"/>
        </w:rPr>
      </w:pPr>
      <w:r>
        <w:rPr>
          <w:rFonts w:ascii="Times" w:eastAsia="Times" w:hAnsi="Times"/>
          <w:color w:val="333399"/>
          <w:sz w:val="20"/>
          <w:szCs w:val="20"/>
        </w:rPr>
        <w:t xml:space="preserve">In </w:t>
      </w:r>
      <w:r w:rsidR="008B1BF8">
        <w:rPr>
          <w:rFonts w:ascii="Times" w:eastAsia="Times" w:hAnsi="Times"/>
          <w:color w:val="333399"/>
          <w:sz w:val="20"/>
          <w:szCs w:val="20"/>
        </w:rPr>
        <w:t>closing</w:t>
      </w:r>
      <w:r w:rsidR="008B1BF8" w:rsidRPr="00FD489D">
        <w:rPr>
          <w:rFonts w:ascii="Times" w:eastAsia="Times" w:hAnsi="Times"/>
          <w:color w:val="333399"/>
          <w:sz w:val="20"/>
          <w:szCs w:val="20"/>
        </w:rPr>
        <w:t xml:space="preserve"> Manatee County’s Property Management Energy Team </w:t>
      </w:r>
      <w:r>
        <w:rPr>
          <w:rFonts w:ascii="Times" w:eastAsia="Times" w:hAnsi="Times"/>
          <w:color w:val="333399"/>
          <w:sz w:val="20"/>
          <w:szCs w:val="20"/>
        </w:rPr>
        <w:t xml:space="preserve">will </w:t>
      </w:r>
      <w:r w:rsidR="00F367DF">
        <w:rPr>
          <w:rFonts w:ascii="Times" w:eastAsia="Times" w:hAnsi="Times"/>
          <w:color w:val="333399"/>
          <w:sz w:val="20"/>
          <w:szCs w:val="20"/>
        </w:rPr>
        <w:t xml:space="preserve">take </w:t>
      </w:r>
      <w:r w:rsidR="0053664A">
        <w:rPr>
          <w:rFonts w:ascii="Times" w:eastAsia="Times" w:hAnsi="Times"/>
          <w:color w:val="333399"/>
          <w:sz w:val="20"/>
          <w:szCs w:val="20"/>
        </w:rPr>
        <w:t xml:space="preserve">tremendous </w:t>
      </w:r>
      <w:r w:rsidR="00F367DF">
        <w:rPr>
          <w:rFonts w:ascii="Times" w:eastAsia="Times" w:hAnsi="Times"/>
          <w:color w:val="333399"/>
          <w:sz w:val="20"/>
          <w:szCs w:val="20"/>
        </w:rPr>
        <w:t xml:space="preserve">pride in </w:t>
      </w:r>
      <w:r w:rsidR="00C51BCF">
        <w:rPr>
          <w:rFonts w:ascii="Times" w:eastAsia="Times" w:hAnsi="Times"/>
          <w:color w:val="333399"/>
          <w:sz w:val="20"/>
          <w:szCs w:val="20"/>
        </w:rPr>
        <w:t>presenting</w:t>
      </w:r>
      <w:r w:rsidR="006E7615" w:rsidRPr="00FD489D">
        <w:rPr>
          <w:rFonts w:ascii="Times" w:eastAsia="Times" w:hAnsi="Times"/>
          <w:color w:val="333399"/>
          <w:sz w:val="20"/>
          <w:szCs w:val="20"/>
        </w:rPr>
        <w:t xml:space="preserve"> </w:t>
      </w:r>
      <w:r>
        <w:rPr>
          <w:rFonts w:ascii="Times" w:eastAsia="Times" w:hAnsi="Times"/>
          <w:color w:val="333399"/>
          <w:sz w:val="20"/>
          <w:szCs w:val="20"/>
        </w:rPr>
        <w:t xml:space="preserve">their experiences, </w:t>
      </w:r>
      <w:r w:rsidR="006E7615" w:rsidRPr="00FD489D">
        <w:rPr>
          <w:rFonts w:ascii="Times" w:eastAsia="Times" w:hAnsi="Times"/>
          <w:color w:val="333399"/>
          <w:sz w:val="20"/>
          <w:szCs w:val="20"/>
        </w:rPr>
        <w:t xml:space="preserve">challenges, </w:t>
      </w:r>
      <w:r>
        <w:rPr>
          <w:rFonts w:ascii="Times" w:eastAsia="Times" w:hAnsi="Times"/>
          <w:color w:val="333399"/>
          <w:sz w:val="20"/>
          <w:szCs w:val="20"/>
        </w:rPr>
        <w:t xml:space="preserve">and </w:t>
      </w:r>
      <w:r w:rsidRPr="00FD489D">
        <w:rPr>
          <w:rFonts w:ascii="Times" w:eastAsia="Times" w:hAnsi="Times"/>
          <w:color w:val="333399"/>
          <w:sz w:val="20"/>
          <w:szCs w:val="20"/>
        </w:rPr>
        <w:t>successes</w:t>
      </w:r>
      <w:r w:rsidR="00F367DF">
        <w:rPr>
          <w:rFonts w:ascii="Times" w:eastAsia="Times" w:hAnsi="Times"/>
          <w:color w:val="333399"/>
          <w:sz w:val="20"/>
          <w:szCs w:val="20"/>
        </w:rPr>
        <w:t xml:space="preserve">.  </w:t>
      </w:r>
      <w:r w:rsidR="00C51BCF">
        <w:rPr>
          <w:rFonts w:ascii="Times" w:eastAsia="Times" w:hAnsi="Times"/>
          <w:color w:val="333399"/>
          <w:sz w:val="20"/>
          <w:szCs w:val="20"/>
        </w:rPr>
        <w:t>And, w</w:t>
      </w:r>
      <w:r w:rsidR="00F367DF">
        <w:rPr>
          <w:rFonts w:ascii="Times" w:eastAsia="Times" w:hAnsi="Times"/>
          <w:color w:val="333399"/>
          <w:sz w:val="20"/>
          <w:szCs w:val="20"/>
        </w:rPr>
        <w:t xml:space="preserve">e </w:t>
      </w:r>
      <w:r w:rsidR="004A6AC7">
        <w:rPr>
          <w:rFonts w:ascii="Times" w:eastAsia="Times" w:hAnsi="Times"/>
          <w:color w:val="333399"/>
          <w:sz w:val="20"/>
          <w:szCs w:val="20"/>
        </w:rPr>
        <w:t xml:space="preserve">are </w:t>
      </w:r>
      <w:r w:rsidR="00C51BCF">
        <w:rPr>
          <w:rFonts w:ascii="Times" w:eastAsia="Times" w:hAnsi="Times"/>
          <w:color w:val="333399"/>
          <w:sz w:val="20"/>
          <w:szCs w:val="20"/>
        </w:rPr>
        <w:t>very excited at the prospect</w:t>
      </w:r>
      <w:r>
        <w:rPr>
          <w:rFonts w:ascii="Times" w:eastAsia="Times" w:hAnsi="Times"/>
          <w:color w:val="333399"/>
          <w:sz w:val="20"/>
          <w:szCs w:val="20"/>
        </w:rPr>
        <w:t xml:space="preserve"> </w:t>
      </w:r>
      <w:r w:rsidRPr="00FD489D">
        <w:rPr>
          <w:rFonts w:ascii="Times" w:eastAsia="Times" w:hAnsi="Times"/>
          <w:color w:val="333399"/>
          <w:sz w:val="20"/>
          <w:szCs w:val="20"/>
        </w:rPr>
        <w:t>to partic</w:t>
      </w:r>
      <w:r>
        <w:rPr>
          <w:rFonts w:ascii="Times" w:eastAsia="Times" w:hAnsi="Times"/>
          <w:color w:val="333399"/>
          <w:sz w:val="20"/>
          <w:szCs w:val="20"/>
        </w:rPr>
        <w:t>ip</w:t>
      </w:r>
      <w:r w:rsidRPr="00FD489D">
        <w:rPr>
          <w:rFonts w:ascii="Times" w:eastAsia="Times" w:hAnsi="Times"/>
          <w:color w:val="333399"/>
          <w:sz w:val="20"/>
          <w:szCs w:val="20"/>
        </w:rPr>
        <w:t xml:space="preserve">ate in </w:t>
      </w:r>
      <w:r w:rsidR="006E7615" w:rsidRPr="00FD489D">
        <w:rPr>
          <w:rFonts w:ascii="Times" w:eastAsia="Times" w:hAnsi="Times"/>
          <w:color w:val="333399"/>
          <w:sz w:val="20"/>
          <w:szCs w:val="20"/>
        </w:rPr>
        <w:t xml:space="preserve">the </w:t>
      </w:r>
      <w:r w:rsidR="00887EC6">
        <w:rPr>
          <w:rFonts w:ascii="Times" w:eastAsia="Times" w:hAnsi="Times"/>
          <w:color w:val="333399"/>
          <w:sz w:val="20"/>
          <w:szCs w:val="20"/>
        </w:rPr>
        <w:t xml:space="preserve">April 2014 </w:t>
      </w:r>
      <w:r w:rsidR="006E7615" w:rsidRPr="00FD489D">
        <w:rPr>
          <w:rFonts w:ascii="Times" w:eastAsia="Times" w:hAnsi="Times"/>
          <w:color w:val="333399"/>
          <w:sz w:val="20"/>
          <w:szCs w:val="20"/>
        </w:rPr>
        <w:t xml:space="preserve">Alliance </w:t>
      </w:r>
      <w:r w:rsidR="001F213D">
        <w:rPr>
          <w:rFonts w:ascii="Times" w:eastAsia="Times" w:hAnsi="Times"/>
          <w:color w:val="333399"/>
          <w:sz w:val="20"/>
          <w:szCs w:val="20"/>
        </w:rPr>
        <w:t xml:space="preserve">for </w:t>
      </w:r>
      <w:r w:rsidR="006E7615" w:rsidRPr="00FD489D">
        <w:rPr>
          <w:rFonts w:ascii="Times" w:eastAsia="Times" w:hAnsi="Times"/>
          <w:color w:val="333399"/>
          <w:sz w:val="20"/>
          <w:szCs w:val="20"/>
        </w:rPr>
        <w:t xml:space="preserve">Innovation </w:t>
      </w:r>
      <w:r w:rsidR="00887EC6">
        <w:rPr>
          <w:rFonts w:ascii="Times" w:eastAsia="Times" w:hAnsi="Times"/>
          <w:color w:val="333399"/>
          <w:sz w:val="20"/>
          <w:szCs w:val="20"/>
        </w:rPr>
        <w:t>forum</w:t>
      </w:r>
      <w:r w:rsidR="000F169A">
        <w:rPr>
          <w:rFonts w:ascii="Times" w:eastAsia="Times" w:hAnsi="Times"/>
          <w:color w:val="333399"/>
          <w:sz w:val="20"/>
          <w:szCs w:val="20"/>
        </w:rPr>
        <w:t>.</w:t>
      </w:r>
    </w:p>
    <w:p w:rsidR="000F169A" w:rsidRPr="00FD489D" w:rsidRDefault="000F169A" w:rsidP="00FD489D">
      <w:pPr>
        <w:jc w:val="both"/>
        <w:rPr>
          <w:rFonts w:ascii="Times" w:eastAsia="Times" w:hAnsi="Times"/>
          <w:color w:val="333399"/>
          <w:sz w:val="20"/>
          <w:szCs w:val="20"/>
        </w:rPr>
      </w:pPr>
    </w:p>
    <w:p w:rsidR="006E7615" w:rsidRPr="00F27031" w:rsidRDefault="006E7615" w:rsidP="00DF63C8">
      <w:pPr>
        <w:jc w:val="both"/>
        <w:rPr>
          <w:rFonts w:ascii="Times New Roman" w:hAnsi="Times New Roman"/>
          <w:color w:val="365F91" w:themeColor="accent1" w:themeShade="BF"/>
        </w:rPr>
      </w:pPr>
      <w:r w:rsidRPr="00D74353">
        <w:rPr>
          <w:rFonts w:ascii="Times New Roman" w:hAnsi="Times New Roman"/>
          <w:color w:val="365F91" w:themeColor="accent1" w:themeShade="BF"/>
        </w:rPr>
        <w:t xml:space="preserve">       </w:t>
      </w:r>
    </w:p>
    <w:p w:rsidR="006E7615" w:rsidRPr="00D74353" w:rsidRDefault="006E7615">
      <w:pPr>
        <w:rPr>
          <w:rFonts w:ascii="Times New Roman" w:hAnsi="Times New Roman"/>
          <w:color w:val="365F91" w:themeColor="accent1" w:themeShade="BF"/>
        </w:rPr>
      </w:pPr>
    </w:p>
    <w:p w:rsidR="006E7615" w:rsidRPr="00D74353" w:rsidRDefault="006E7615">
      <w:pPr>
        <w:rPr>
          <w:rFonts w:ascii="Times New Roman" w:hAnsi="Times New Roman"/>
          <w:color w:val="365F91" w:themeColor="accent1" w:themeShade="BF"/>
        </w:rPr>
      </w:pPr>
    </w:p>
    <w:p w:rsidR="006E7615" w:rsidRPr="00D74353" w:rsidRDefault="006E7615">
      <w:pPr>
        <w:rPr>
          <w:rFonts w:ascii="Times New Roman" w:hAnsi="Times New Roman"/>
          <w:color w:val="365F91" w:themeColor="accent1" w:themeShade="BF"/>
        </w:rPr>
      </w:pPr>
    </w:p>
    <w:p w:rsidR="006E7615" w:rsidRPr="00D74353" w:rsidRDefault="006E7615">
      <w:pPr>
        <w:rPr>
          <w:rFonts w:ascii="Times New Roman" w:hAnsi="Times New Roman"/>
          <w:color w:val="365F91" w:themeColor="accent1" w:themeShade="BF"/>
        </w:rPr>
      </w:pPr>
    </w:p>
    <w:p w:rsidR="006E7615" w:rsidRPr="00D74353" w:rsidRDefault="006E7615">
      <w:pPr>
        <w:rPr>
          <w:rFonts w:ascii="Times New Roman" w:hAnsi="Times New Roman"/>
          <w:color w:val="365F91" w:themeColor="accent1" w:themeShade="BF"/>
        </w:rPr>
      </w:pPr>
    </w:p>
    <w:p w:rsidR="006E7615" w:rsidRPr="00D74353" w:rsidRDefault="006E7615">
      <w:pPr>
        <w:rPr>
          <w:rFonts w:ascii="Times New Roman" w:hAnsi="Times New Roman"/>
          <w:color w:val="365F91" w:themeColor="accent1" w:themeShade="BF"/>
        </w:rPr>
      </w:pPr>
    </w:p>
    <w:p w:rsidR="006E7615" w:rsidRPr="00D74353" w:rsidRDefault="006E7615">
      <w:pPr>
        <w:rPr>
          <w:rFonts w:ascii="Times New Roman" w:hAnsi="Times New Roman"/>
          <w:color w:val="365F91" w:themeColor="accent1" w:themeShade="BF"/>
        </w:rPr>
      </w:pPr>
    </w:p>
    <w:p w:rsidR="006E7615" w:rsidRPr="00D74353" w:rsidRDefault="006E7615">
      <w:pPr>
        <w:rPr>
          <w:rFonts w:ascii="Times New Roman" w:hAnsi="Times New Roman"/>
          <w:color w:val="365F91" w:themeColor="accent1" w:themeShade="BF"/>
        </w:rPr>
      </w:pPr>
      <w:r w:rsidRPr="00D74353">
        <w:rPr>
          <w:rFonts w:ascii="Times New Roman" w:hAnsi="Times New Roman"/>
          <w:color w:val="365F91" w:themeColor="accent1" w:themeShade="BF"/>
        </w:rPr>
        <w:t xml:space="preserve"> </w:t>
      </w:r>
    </w:p>
    <w:sectPr w:rsidR="006E7615" w:rsidRPr="00D74353" w:rsidSect="00230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6E7615"/>
    <w:rsid w:val="00012EF3"/>
    <w:rsid w:val="00016CC0"/>
    <w:rsid w:val="00030996"/>
    <w:rsid w:val="000432A4"/>
    <w:rsid w:val="000469D0"/>
    <w:rsid w:val="000620DA"/>
    <w:rsid w:val="000625E3"/>
    <w:rsid w:val="0006306D"/>
    <w:rsid w:val="000765B6"/>
    <w:rsid w:val="0008061B"/>
    <w:rsid w:val="00083C65"/>
    <w:rsid w:val="0009680F"/>
    <w:rsid w:val="000A58D0"/>
    <w:rsid w:val="000F169A"/>
    <w:rsid w:val="000F39FF"/>
    <w:rsid w:val="00101A4F"/>
    <w:rsid w:val="001431E0"/>
    <w:rsid w:val="001524CE"/>
    <w:rsid w:val="001709EA"/>
    <w:rsid w:val="00174B07"/>
    <w:rsid w:val="001A5D75"/>
    <w:rsid w:val="001D4DC8"/>
    <w:rsid w:val="001E3D57"/>
    <w:rsid w:val="001F213D"/>
    <w:rsid w:val="00230257"/>
    <w:rsid w:val="002441FC"/>
    <w:rsid w:val="002663B6"/>
    <w:rsid w:val="00296FDC"/>
    <w:rsid w:val="002C244A"/>
    <w:rsid w:val="002E174A"/>
    <w:rsid w:val="00325DFD"/>
    <w:rsid w:val="00353124"/>
    <w:rsid w:val="00393587"/>
    <w:rsid w:val="003A59C3"/>
    <w:rsid w:val="003D72AE"/>
    <w:rsid w:val="003E3F10"/>
    <w:rsid w:val="003F49C7"/>
    <w:rsid w:val="00410A9B"/>
    <w:rsid w:val="0041515D"/>
    <w:rsid w:val="00482925"/>
    <w:rsid w:val="00492E44"/>
    <w:rsid w:val="004A04A6"/>
    <w:rsid w:val="004A6AC7"/>
    <w:rsid w:val="004E2E9D"/>
    <w:rsid w:val="0053664A"/>
    <w:rsid w:val="00537D9C"/>
    <w:rsid w:val="00547A6F"/>
    <w:rsid w:val="005601A7"/>
    <w:rsid w:val="00572D79"/>
    <w:rsid w:val="00573376"/>
    <w:rsid w:val="0057729D"/>
    <w:rsid w:val="005A44DE"/>
    <w:rsid w:val="005D3945"/>
    <w:rsid w:val="005E08AE"/>
    <w:rsid w:val="00612152"/>
    <w:rsid w:val="00642B5F"/>
    <w:rsid w:val="00691171"/>
    <w:rsid w:val="006B19DE"/>
    <w:rsid w:val="006D28B5"/>
    <w:rsid w:val="006E2DAD"/>
    <w:rsid w:val="006E7615"/>
    <w:rsid w:val="007059F5"/>
    <w:rsid w:val="00712460"/>
    <w:rsid w:val="007510D1"/>
    <w:rsid w:val="00756330"/>
    <w:rsid w:val="007843E9"/>
    <w:rsid w:val="007A0006"/>
    <w:rsid w:val="007A0DD7"/>
    <w:rsid w:val="007A0F6E"/>
    <w:rsid w:val="007B3617"/>
    <w:rsid w:val="007B4FD3"/>
    <w:rsid w:val="007C6ACB"/>
    <w:rsid w:val="007D47BB"/>
    <w:rsid w:val="007F3AB5"/>
    <w:rsid w:val="008160CF"/>
    <w:rsid w:val="00822FB3"/>
    <w:rsid w:val="00844D85"/>
    <w:rsid w:val="00856DA5"/>
    <w:rsid w:val="00871BBB"/>
    <w:rsid w:val="00880BB5"/>
    <w:rsid w:val="00887EC6"/>
    <w:rsid w:val="008B1BF8"/>
    <w:rsid w:val="008B371D"/>
    <w:rsid w:val="008B6907"/>
    <w:rsid w:val="008E4479"/>
    <w:rsid w:val="008E45F8"/>
    <w:rsid w:val="008E5225"/>
    <w:rsid w:val="00900E8C"/>
    <w:rsid w:val="009206BD"/>
    <w:rsid w:val="00926EE0"/>
    <w:rsid w:val="0094700E"/>
    <w:rsid w:val="00995035"/>
    <w:rsid w:val="00995B5B"/>
    <w:rsid w:val="009A4CE5"/>
    <w:rsid w:val="009C39FC"/>
    <w:rsid w:val="009D06D2"/>
    <w:rsid w:val="009E61A0"/>
    <w:rsid w:val="00A20A39"/>
    <w:rsid w:val="00A661D0"/>
    <w:rsid w:val="00A816C8"/>
    <w:rsid w:val="00A9692F"/>
    <w:rsid w:val="00AA64A4"/>
    <w:rsid w:val="00AE0D00"/>
    <w:rsid w:val="00B07074"/>
    <w:rsid w:val="00B17F3D"/>
    <w:rsid w:val="00B209FA"/>
    <w:rsid w:val="00B4150D"/>
    <w:rsid w:val="00B4172B"/>
    <w:rsid w:val="00B43162"/>
    <w:rsid w:val="00B91159"/>
    <w:rsid w:val="00BA5DE9"/>
    <w:rsid w:val="00BD6337"/>
    <w:rsid w:val="00BD7600"/>
    <w:rsid w:val="00BE17ED"/>
    <w:rsid w:val="00C45FAA"/>
    <w:rsid w:val="00C51BCF"/>
    <w:rsid w:val="00C73546"/>
    <w:rsid w:val="00C84CAB"/>
    <w:rsid w:val="00CA7210"/>
    <w:rsid w:val="00D0465A"/>
    <w:rsid w:val="00D30126"/>
    <w:rsid w:val="00D30C0D"/>
    <w:rsid w:val="00D74353"/>
    <w:rsid w:val="00DA63A8"/>
    <w:rsid w:val="00DB05AE"/>
    <w:rsid w:val="00DB4A38"/>
    <w:rsid w:val="00DC159E"/>
    <w:rsid w:val="00DE2A74"/>
    <w:rsid w:val="00DE3CE1"/>
    <w:rsid w:val="00DF60B5"/>
    <w:rsid w:val="00DF63C8"/>
    <w:rsid w:val="00E14725"/>
    <w:rsid w:val="00E24AC8"/>
    <w:rsid w:val="00E2592D"/>
    <w:rsid w:val="00E2708D"/>
    <w:rsid w:val="00E45B35"/>
    <w:rsid w:val="00E4624C"/>
    <w:rsid w:val="00E515CB"/>
    <w:rsid w:val="00E63003"/>
    <w:rsid w:val="00E72A28"/>
    <w:rsid w:val="00EC0879"/>
    <w:rsid w:val="00EC507F"/>
    <w:rsid w:val="00ED52B7"/>
    <w:rsid w:val="00F05D31"/>
    <w:rsid w:val="00F117C5"/>
    <w:rsid w:val="00F211AF"/>
    <w:rsid w:val="00F27031"/>
    <w:rsid w:val="00F367DF"/>
    <w:rsid w:val="00F377FA"/>
    <w:rsid w:val="00FA6A75"/>
    <w:rsid w:val="00FA6B97"/>
    <w:rsid w:val="00FD489D"/>
    <w:rsid w:val="00FE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A4CE5"/>
    <w:rPr>
      <w:color w:val="0000FF"/>
      <w:u w:val="single"/>
    </w:rPr>
  </w:style>
  <w:style w:type="paragraph" w:styleId="Header">
    <w:name w:val="header"/>
    <w:basedOn w:val="Normal"/>
    <w:link w:val="HeaderChar"/>
    <w:rsid w:val="009A4CE5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9A4CE5"/>
    <w:rPr>
      <w:rFonts w:ascii="Times" w:eastAsia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848C-7D83-498D-BDE0-97D83062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Manatee County Government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dthompson</dc:creator>
  <cp:keywords/>
  <dc:description/>
  <cp:lastModifiedBy>mdaniell</cp:lastModifiedBy>
  <cp:revision>114</cp:revision>
  <cp:lastPrinted>2013-07-25T13:13:00Z</cp:lastPrinted>
  <dcterms:created xsi:type="dcterms:W3CDTF">2013-07-24T12:36:00Z</dcterms:created>
  <dcterms:modified xsi:type="dcterms:W3CDTF">2013-07-29T17:10:00Z</dcterms:modified>
</cp:coreProperties>
</file>