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63" w:rsidRDefault="009E0F63" w:rsidP="009E0F63">
      <w:pPr>
        <w:pStyle w:val="Heading1"/>
        <w:jc w:val="center"/>
        <w:rPr>
          <w:kern w:val="0"/>
        </w:rPr>
      </w:pPr>
      <w:bookmarkStart w:id="0" w:name="_GoBack"/>
      <w:bookmarkEnd w:id="0"/>
    </w:p>
    <w:p w:rsidR="00AB7CBF" w:rsidRDefault="00AB7CBF" w:rsidP="00AB7CBF">
      <w:pPr>
        <w:tabs>
          <w:tab w:val="left" w:pos="1800"/>
        </w:tabs>
        <w:jc w:val="center"/>
        <w:rPr>
          <w:rFonts w:ascii="Arial" w:hAnsi="Arial"/>
          <w:color w:val="3C6D28"/>
          <w:sz w:val="28"/>
        </w:rPr>
      </w:pPr>
    </w:p>
    <w:p w:rsidR="00AB7CBF" w:rsidRDefault="00AB7CBF" w:rsidP="00AB7CBF">
      <w:pPr>
        <w:spacing w:line="276" w:lineRule="auto"/>
        <w:rPr>
          <w:rFonts w:ascii="Arial" w:hAnsi="Arial" w:cs="Arial"/>
          <w:color w:val="9BBB59"/>
          <w:sz w:val="48"/>
          <w:szCs w:val="48"/>
        </w:rPr>
      </w:pPr>
    </w:p>
    <w:p w:rsidR="00AB7CBF" w:rsidRDefault="00AB7CBF" w:rsidP="00AB7CBF">
      <w:pPr>
        <w:spacing w:line="276" w:lineRule="auto"/>
        <w:rPr>
          <w:rFonts w:ascii="Arial" w:hAnsi="Arial" w:cs="Arial"/>
          <w:color w:val="9BBB59"/>
          <w:sz w:val="48"/>
          <w:szCs w:val="48"/>
        </w:rPr>
      </w:pPr>
    </w:p>
    <w:p w:rsidR="00AB7CBF" w:rsidRDefault="00AB7CBF" w:rsidP="00AB7CBF">
      <w:pPr>
        <w:spacing w:line="276" w:lineRule="auto"/>
        <w:jc w:val="center"/>
        <w:rPr>
          <w:rFonts w:ascii="Calibri" w:hAnsi="Calibri" w:cs="Arial"/>
          <w:color w:val="9BBB59"/>
          <w:sz w:val="48"/>
          <w:szCs w:val="48"/>
        </w:rPr>
      </w:pPr>
    </w:p>
    <w:p w:rsidR="00AB7CBF" w:rsidRPr="000633D3" w:rsidRDefault="00AB7CBF" w:rsidP="00AB7CBF">
      <w:pPr>
        <w:spacing w:line="276" w:lineRule="auto"/>
        <w:jc w:val="right"/>
        <w:rPr>
          <w:rFonts w:ascii="Calibri" w:hAnsi="Calibri" w:cs="Arial"/>
          <w:color w:val="9BBB59"/>
          <w:sz w:val="48"/>
          <w:szCs w:val="48"/>
        </w:rPr>
      </w:pPr>
      <w:r>
        <w:rPr>
          <w:rFonts w:ascii="Calibri" w:hAnsi="Calibri" w:cs="Arial"/>
          <w:noProof/>
          <w:color w:val="9BBB59"/>
          <w:sz w:val="48"/>
          <w:szCs w:val="48"/>
        </w:rPr>
        <w:drawing>
          <wp:anchor distT="0" distB="0" distL="114300" distR="114300" simplePos="0" relativeHeight="251659776" behindDoc="1" locked="0" layoutInCell="1" allowOverlap="1">
            <wp:simplePos x="0" y="0"/>
            <wp:positionH relativeFrom="page">
              <wp:posOffset>683895</wp:posOffset>
            </wp:positionH>
            <wp:positionV relativeFrom="page">
              <wp:posOffset>581660</wp:posOffset>
            </wp:positionV>
            <wp:extent cx="1928495" cy="700405"/>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28495" cy="700405"/>
                    </a:xfrm>
                    <a:prstGeom prst="rect">
                      <a:avLst/>
                    </a:prstGeom>
                    <a:noFill/>
                    <a:ln w="12700">
                      <a:noFill/>
                      <a:miter lim="800000"/>
                      <a:headEnd/>
                      <a:tailEnd/>
                    </a:ln>
                  </pic:spPr>
                </pic:pic>
              </a:graphicData>
            </a:graphic>
          </wp:anchor>
        </w:drawing>
      </w:r>
      <w:r>
        <w:rPr>
          <w:rFonts w:ascii="Calibri" w:hAnsi="Calibri" w:cs="Arial"/>
          <w:noProof/>
          <w:color w:val="9BBB59"/>
          <w:sz w:val="48"/>
          <w:szCs w:val="48"/>
        </w:rPr>
        <w:t>ICMA 201</w:t>
      </w:r>
      <w:r w:rsidR="00ED65FE">
        <w:rPr>
          <w:rFonts w:ascii="Calibri" w:hAnsi="Calibri" w:cs="Arial"/>
          <w:noProof/>
          <w:color w:val="9BBB59"/>
          <w:sz w:val="48"/>
          <w:szCs w:val="48"/>
        </w:rPr>
        <w:t>3</w:t>
      </w:r>
    </w:p>
    <w:p w:rsidR="00AB7CBF" w:rsidRPr="000633D3" w:rsidRDefault="00AB7CBF" w:rsidP="00AB7CBF">
      <w:pPr>
        <w:spacing w:line="276" w:lineRule="auto"/>
        <w:jc w:val="right"/>
        <w:rPr>
          <w:rFonts w:ascii="Calibri" w:hAnsi="Calibri" w:cs="Arial"/>
          <w:color w:val="9BBB59"/>
          <w:sz w:val="48"/>
          <w:szCs w:val="48"/>
        </w:rPr>
      </w:pPr>
      <w:r>
        <w:rPr>
          <w:rFonts w:ascii="Calibri" w:hAnsi="Calibri" w:cs="Arial"/>
          <w:color w:val="9BBB59"/>
          <w:sz w:val="48"/>
          <w:szCs w:val="48"/>
        </w:rPr>
        <w:t>Program</w:t>
      </w:r>
      <w:r w:rsidRPr="000633D3">
        <w:rPr>
          <w:rFonts w:ascii="Calibri" w:hAnsi="Calibri" w:cs="Arial"/>
          <w:color w:val="9BBB59"/>
          <w:sz w:val="48"/>
          <w:szCs w:val="48"/>
        </w:rPr>
        <w:t xml:space="preserve"> Excellence Awards</w:t>
      </w: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Default="00AB7CBF" w:rsidP="00AB7CBF">
      <w:pPr>
        <w:jc w:val="right"/>
        <w:rPr>
          <w:rFonts w:ascii="Arial" w:hAnsi="Arial" w:cs="Arial"/>
          <w:color w:val="9BBB59"/>
          <w:sz w:val="48"/>
          <w:szCs w:val="48"/>
        </w:rPr>
      </w:pPr>
    </w:p>
    <w:p w:rsidR="00AB7CBF" w:rsidRPr="000633D3" w:rsidRDefault="00AB7CBF" w:rsidP="00AB7CBF">
      <w:pPr>
        <w:spacing w:line="276" w:lineRule="auto"/>
        <w:jc w:val="right"/>
        <w:rPr>
          <w:rFonts w:ascii="Calibri" w:hAnsi="Calibri" w:cs="Arial"/>
          <w:color w:val="9BBB59"/>
          <w:sz w:val="48"/>
          <w:szCs w:val="48"/>
        </w:rPr>
      </w:pPr>
      <w:r>
        <w:rPr>
          <w:rFonts w:ascii="Calibri" w:hAnsi="Calibri" w:cs="Arial"/>
          <w:color w:val="9BBB59"/>
          <w:sz w:val="48"/>
          <w:szCs w:val="48"/>
        </w:rPr>
        <w:t>Community Health and Safety Award</w:t>
      </w:r>
    </w:p>
    <w:p w:rsidR="00AB7CBF" w:rsidRPr="000633D3" w:rsidRDefault="00AB7CBF" w:rsidP="00AB7CBF">
      <w:pPr>
        <w:spacing w:line="276" w:lineRule="auto"/>
        <w:jc w:val="right"/>
        <w:rPr>
          <w:rFonts w:ascii="Calibri" w:hAnsi="Calibri" w:cs="Arial"/>
          <w:color w:val="404040"/>
          <w:sz w:val="32"/>
          <w:szCs w:val="32"/>
        </w:rPr>
      </w:pPr>
      <w:r w:rsidRPr="000633D3">
        <w:rPr>
          <w:rFonts w:ascii="Calibri" w:hAnsi="Calibri" w:cs="Arial"/>
          <w:color w:val="404040"/>
          <w:sz w:val="32"/>
          <w:szCs w:val="32"/>
        </w:rPr>
        <w:t>City of Surrey</w:t>
      </w:r>
    </w:p>
    <w:p w:rsidR="00AB7CBF" w:rsidRPr="000633D3" w:rsidRDefault="00ED65FE" w:rsidP="00AB7CBF">
      <w:pPr>
        <w:spacing w:line="276" w:lineRule="auto"/>
        <w:jc w:val="right"/>
        <w:rPr>
          <w:rFonts w:ascii="Calibri" w:hAnsi="Calibri" w:cs="Arial"/>
          <w:color w:val="404040"/>
          <w:sz w:val="32"/>
          <w:szCs w:val="32"/>
        </w:rPr>
      </w:pPr>
      <w:proofErr w:type="spellStart"/>
      <w:r w:rsidRPr="00A90C68">
        <w:rPr>
          <w:rFonts w:ascii="Calibri" w:hAnsi="Calibri" w:cs="Arial"/>
          <w:i/>
          <w:color w:val="404040"/>
          <w:sz w:val="32"/>
          <w:szCs w:val="32"/>
        </w:rPr>
        <w:t>HomeSafe</w:t>
      </w:r>
      <w:proofErr w:type="spellEnd"/>
      <w:r>
        <w:rPr>
          <w:rFonts w:ascii="Calibri" w:hAnsi="Calibri" w:cs="Arial"/>
          <w:color w:val="404040"/>
          <w:sz w:val="32"/>
          <w:szCs w:val="32"/>
        </w:rPr>
        <w:t xml:space="preserve"> Program</w:t>
      </w:r>
    </w:p>
    <w:p w:rsidR="00AB7CBF" w:rsidRPr="000633D3" w:rsidRDefault="00AB7CBF" w:rsidP="00AB7CBF">
      <w:pPr>
        <w:tabs>
          <w:tab w:val="left" w:pos="1800"/>
        </w:tabs>
        <w:spacing w:line="276" w:lineRule="auto"/>
        <w:jc w:val="right"/>
        <w:rPr>
          <w:rFonts w:ascii="Calibri" w:hAnsi="Calibri"/>
          <w:sz w:val="32"/>
          <w:szCs w:val="32"/>
        </w:rPr>
      </w:pPr>
      <w:r>
        <w:rPr>
          <w:rFonts w:ascii="Calibri" w:hAnsi="Calibri" w:cs="Arial"/>
          <w:color w:val="404040"/>
          <w:sz w:val="32"/>
          <w:szCs w:val="32"/>
        </w:rPr>
        <w:t>50,000 and Greater</w:t>
      </w:r>
    </w:p>
    <w:p w:rsidR="009E0F63" w:rsidRDefault="00BE49A1" w:rsidP="009E0F63">
      <w:pPr>
        <w:tabs>
          <w:tab w:val="center" w:pos="4680"/>
        </w:tabs>
      </w:pPr>
      <w:r>
        <w:rPr>
          <w:noProof/>
        </w:rPr>
        <w:lastRenderedPageBreak/>
        <w:drawing>
          <wp:anchor distT="0" distB="0" distL="114300" distR="114300" simplePos="0" relativeHeight="251657728" behindDoc="1" locked="0" layoutInCell="1" allowOverlap="1">
            <wp:simplePos x="0" y="0"/>
            <wp:positionH relativeFrom="column">
              <wp:align>center</wp:align>
            </wp:positionH>
            <wp:positionV relativeFrom="page">
              <wp:posOffset>457200</wp:posOffset>
            </wp:positionV>
            <wp:extent cx="2222500" cy="546100"/>
            <wp:effectExtent l="19050" t="0" r="6350" b="0"/>
            <wp:wrapNone/>
            <wp:docPr id="2" name="Picture 2"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MA Master Stack Tag COL.jpg"/>
                    <pic:cNvPicPr>
                      <a:picLocks noChangeAspect="1" noChangeArrowheads="1"/>
                    </pic:cNvPicPr>
                  </pic:nvPicPr>
                  <pic:blipFill>
                    <a:blip r:embed="rId9"/>
                    <a:srcRect/>
                    <a:stretch>
                      <a:fillRect/>
                    </a:stretch>
                  </pic:blipFill>
                  <pic:spPr bwMode="auto">
                    <a:xfrm>
                      <a:off x="0" y="0"/>
                      <a:ext cx="2222500" cy="546100"/>
                    </a:xfrm>
                    <a:prstGeom prst="rect">
                      <a:avLst/>
                    </a:prstGeom>
                    <a:noFill/>
                    <a:ln w="9525">
                      <a:noFill/>
                      <a:miter lim="800000"/>
                      <a:headEnd/>
                      <a:tailEnd/>
                    </a:ln>
                  </pic:spPr>
                </pic:pic>
              </a:graphicData>
            </a:graphic>
          </wp:anchor>
        </w:drawing>
      </w:r>
      <w:r w:rsidR="009E0F63">
        <w:tab/>
      </w:r>
    </w:p>
    <w:p w:rsidR="009E0F63" w:rsidRDefault="009E0F63" w:rsidP="009E0F63">
      <w:pPr>
        <w:tabs>
          <w:tab w:val="center" w:pos="4680"/>
        </w:tabs>
      </w:pPr>
    </w:p>
    <w:p w:rsidR="009E0F63" w:rsidRDefault="009E0F63" w:rsidP="009E0F63">
      <w:pPr>
        <w:tabs>
          <w:tab w:val="center" w:pos="4680"/>
        </w:tabs>
      </w:pPr>
    </w:p>
    <w:p w:rsidR="009E0F63" w:rsidRPr="002A12E4" w:rsidRDefault="009E0F63" w:rsidP="009E0F63">
      <w:pPr>
        <w:tabs>
          <w:tab w:val="center" w:pos="4680"/>
        </w:tabs>
      </w:pPr>
    </w:p>
    <w:p w:rsidR="009E0F63" w:rsidRPr="002A12E4" w:rsidRDefault="009E0F63" w:rsidP="009E0F63">
      <w:pPr>
        <w:pStyle w:val="Heading1"/>
        <w:jc w:val="center"/>
        <w:rPr>
          <w:kern w:val="0"/>
        </w:rPr>
      </w:pPr>
      <w:r>
        <w:rPr>
          <w:rFonts w:ascii="Verdana" w:hAnsi="Verdana" w:cs="Verdana"/>
          <w:color w:val="005597"/>
          <w:sz w:val="28"/>
          <w:szCs w:val="28"/>
        </w:rPr>
        <w:t>201</w:t>
      </w:r>
      <w:r w:rsidR="00ED65FE">
        <w:rPr>
          <w:rFonts w:ascii="Verdana" w:hAnsi="Verdana" w:cs="Verdana"/>
          <w:color w:val="005597"/>
          <w:sz w:val="28"/>
          <w:szCs w:val="28"/>
        </w:rPr>
        <w:t>3</w:t>
      </w:r>
      <w:r w:rsidRPr="0025643E">
        <w:rPr>
          <w:rFonts w:ascii="Verdana" w:hAnsi="Verdana" w:cs="Verdana"/>
          <w:color w:val="005597"/>
          <w:sz w:val="28"/>
          <w:szCs w:val="28"/>
        </w:rPr>
        <w:t xml:space="preserve"> Annual Awards Program</w:t>
      </w:r>
    </w:p>
    <w:p w:rsidR="009E0F63" w:rsidRPr="0025643E" w:rsidRDefault="009E0F63" w:rsidP="009E0F63">
      <w:pPr>
        <w:pStyle w:val="Heading2"/>
        <w:jc w:val="center"/>
        <w:rPr>
          <w:rFonts w:ascii="Verdana" w:hAnsi="Verdana" w:cs="Verdana"/>
          <w:i w:val="0"/>
          <w:iCs w:val="0"/>
          <w:color w:val="005597"/>
        </w:rPr>
      </w:pPr>
      <w:r w:rsidRPr="0025643E">
        <w:rPr>
          <w:rFonts w:ascii="Verdana" w:hAnsi="Verdana" w:cs="Verdana"/>
          <w:i w:val="0"/>
          <w:iCs w:val="0"/>
          <w:color w:val="005597"/>
        </w:rPr>
        <w:t>Program Excellence Awards Nomination Form</w:t>
      </w:r>
    </w:p>
    <w:p w:rsidR="009E0F63" w:rsidRPr="00226D1B" w:rsidRDefault="009E0F63" w:rsidP="009E0F63">
      <w:pPr>
        <w:pStyle w:val="Heading2"/>
        <w:jc w:val="center"/>
        <w:rPr>
          <w:rFonts w:ascii="Verdana" w:hAnsi="Verdana" w:cs="Verdana"/>
          <w:i w:val="0"/>
          <w:iCs w:val="0"/>
          <w:color w:val="000000"/>
          <w:sz w:val="22"/>
          <w:szCs w:val="22"/>
        </w:rPr>
      </w:pPr>
      <w:r w:rsidRPr="00226D1B">
        <w:rPr>
          <w:rFonts w:ascii="Verdana" w:hAnsi="Verdana" w:cs="Verdana"/>
          <w:i w:val="0"/>
          <w:iCs w:val="0"/>
          <w:color w:val="000000"/>
          <w:sz w:val="22"/>
          <w:szCs w:val="22"/>
        </w:rPr>
        <w:t xml:space="preserve">Deadline for Nominations: March </w:t>
      </w:r>
      <w:r w:rsidR="00ED65FE">
        <w:rPr>
          <w:rFonts w:ascii="Verdana" w:hAnsi="Verdana" w:cs="Verdana"/>
          <w:i w:val="0"/>
          <w:iCs w:val="0"/>
          <w:color w:val="000000"/>
          <w:sz w:val="22"/>
          <w:szCs w:val="22"/>
        </w:rPr>
        <w:t>8</w:t>
      </w:r>
      <w:r w:rsidRPr="00226D1B">
        <w:rPr>
          <w:rFonts w:ascii="Verdana" w:hAnsi="Verdana" w:cs="Verdana"/>
          <w:i w:val="0"/>
          <w:iCs w:val="0"/>
          <w:color w:val="000000"/>
          <w:sz w:val="22"/>
          <w:szCs w:val="22"/>
        </w:rPr>
        <w:t>,</w:t>
      </w:r>
      <w:r>
        <w:rPr>
          <w:rFonts w:ascii="Verdana" w:hAnsi="Verdana" w:cs="Verdana"/>
          <w:i w:val="0"/>
          <w:iCs w:val="0"/>
          <w:color w:val="000000"/>
          <w:sz w:val="22"/>
          <w:szCs w:val="22"/>
        </w:rPr>
        <w:t xml:space="preserve"> 201</w:t>
      </w:r>
      <w:r w:rsidR="00ED65FE">
        <w:rPr>
          <w:rFonts w:ascii="Verdana" w:hAnsi="Verdana" w:cs="Verdana"/>
          <w:i w:val="0"/>
          <w:iCs w:val="0"/>
          <w:color w:val="000000"/>
          <w:sz w:val="22"/>
          <w:szCs w:val="22"/>
        </w:rPr>
        <w:t>3</w:t>
      </w:r>
    </w:p>
    <w:p w:rsidR="009E0F63" w:rsidRPr="005B0F0E" w:rsidRDefault="009E0F63" w:rsidP="009E0F63">
      <w:pPr>
        <w:pStyle w:val="Default"/>
        <w:rPr>
          <w:rFonts w:ascii="Verdana" w:hAnsi="Verdana" w:cs="Verdana"/>
          <w:sz w:val="22"/>
          <w:szCs w:val="22"/>
        </w:rPr>
      </w:pPr>
    </w:p>
    <w:p w:rsidR="009E0F63" w:rsidRPr="005B0F0E" w:rsidRDefault="009E0F63" w:rsidP="009E0F63">
      <w:pPr>
        <w:pStyle w:val="Default"/>
        <w:rPr>
          <w:rFonts w:ascii="Verdana" w:hAnsi="Verdana" w:cs="Verdana"/>
          <w:sz w:val="22"/>
          <w:szCs w:val="22"/>
        </w:rPr>
      </w:pPr>
      <w:r w:rsidRPr="005B0F0E">
        <w:rPr>
          <w:rFonts w:ascii="Verdana" w:hAnsi="Verdana" w:cs="Verdana"/>
          <w:sz w:val="22"/>
          <w:szCs w:val="22"/>
        </w:rPr>
        <w:t xml:space="preserve">Complete this form </w:t>
      </w:r>
      <w:r>
        <w:rPr>
          <w:rFonts w:ascii="Verdana" w:hAnsi="Verdana" w:cs="Verdana"/>
          <w:sz w:val="22"/>
          <w:szCs w:val="22"/>
        </w:rPr>
        <w:t xml:space="preserve">(sections 1 and 2) </w:t>
      </w:r>
      <w:r w:rsidRPr="005B0F0E">
        <w:rPr>
          <w:rFonts w:ascii="Verdana" w:hAnsi="Verdana" w:cs="Verdana"/>
          <w:sz w:val="22"/>
          <w:szCs w:val="22"/>
        </w:rPr>
        <w:t>and</w:t>
      </w:r>
      <w:r>
        <w:rPr>
          <w:rFonts w:ascii="Verdana" w:hAnsi="Verdana" w:cs="Verdana"/>
          <w:sz w:val="22"/>
          <w:szCs w:val="22"/>
        </w:rPr>
        <w:t xml:space="preserve"> submit with</w:t>
      </w:r>
      <w:r w:rsidRPr="005B0F0E">
        <w:rPr>
          <w:rFonts w:ascii="Verdana" w:hAnsi="Verdana" w:cs="Verdana"/>
          <w:sz w:val="22"/>
          <w:szCs w:val="22"/>
        </w:rPr>
        <w:t xml:space="preserve"> your descriptive narrative. </w:t>
      </w:r>
    </w:p>
    <w:p w:rsidR="009E0F63" w:rsidRDefault="009E0F63" w:rsidP="009E0F63">
      <w:pPr>
        <w:pStyle w:val="Heading3"/>
        <w:rPr>
          <w:rFonts w:ascii="Verdana" w:hAnsi="Verdana" w:cs="Verdana"/>
          <w:color w:val="005597"/>
          <w:sz w:val="22"/>
          <w:szCs w:val="22"/>
        </w:rPr>
      </w:pPr>
      <w:r w:rsidRPr="0025643E">
        <w:rPr>
          <w:rFonts w:ascii="Verdana" w:hAnsi="Verdana" w:cs="Verdana"/>
          <w:color w:val="005597"/>
          <w:sz w:val="22"/>
          <w:szCs w:val="22"/>
        </w:rPr>
        <w:t xml:space="preserve">SECTION 1: Information </w:t>
      </w:r>
      <w:proofErr w:type="gramStart"/>
      <w:r w:rsidRPr="0025643E">
        <w:rPr>
          <w:rFonts w:ascii="Verdana" w:hAnsi="Verdana" w:cs="Verdana"/>
          <w:color w:val="005597"/>
          <w:sz w:val="22"/>
          <w:szCs w:val="22"/>
        </w:rPr>
        <w:t>About</w:t>
      </w:r>
      <w:proofErr w:type="gramEnd"/>
      <w:r w:rsidRPr="0025643E">
        <w:rPr>
          <w:rFonts w:ascii="Verdana" w:hAnsi="Verdana" w:cs="Verdana"/>
          <w:color w:val="005597"/>
          <w:sz w:val="22"/>
          <w:szCs w:val="22"/>
        </w:rPr>
        <w:t xml:space="preserve"> the Nominated Program</w:t>
      </w:r>
    </w:p>
    <w:p w:rsidR="009E0F63" w:rsidRPr="005B0F0E" w:rsidRDefault="009E0F63" w:rsidP="009E0F63">
      <w:pPr>
        <w:pStyle w:val="Default"/>
        <w:spacing w:after="120"/>
        <w:rPr>
          <w:rFonts w:ascii="Verdana" w:hAnsi="Verdana" w:cs="Verdana"/>
          <w:sz w:val="22"/>
          <w:szCs w:val="22"/>
        </w:rPr>
      </w:pPr>
      <w:r w:rsidRPr="0027211C">
        <w:rPr>
          <w:rFonts w:ascii="Verdana" w:hAnsi="Verdana" w:cs="Verdana"/>
          <w:sz w:val="22"/>
          <w:szCs w:val="22"/>
        </w:rPr>
        <w:t>Program Excellence Award Category</w:t>
      </w:r>
      <w:r w:rsidRPr="005B0F0E">
        <w:rPr>
          <w:rFonts w:ascii="Verdana" w:hAnsi="Verdana" w:cs="Verdana"/>
          <w:sz w:val="22"/>
          <w:szCs w:val="22"/>
        </w:rPr>
        <w:t xml:space="preserve"> </w:t>
      </w:r>
      <w:r w:rsidRPr="0027211C">
        <w:rPr>
          <w:rFonts w:ascii="Verdana" w:hAnsi="Verdana" w:cs="Verdana"/>
          <w:i/>
          <w:iCs/>
          <w:sz w:val="22"/>
          <w:szCs w:val="22"/>
        </w:rPr>
        <w:t>(select only one)</w:t>
      </w:r>
      <w:r w:rsidRPr="005B0F0E">
        <w:rPr>
          <w:rFonts w:ascii="Verdana" w:hAnsi="Verdana" w:cs="Verdana"/>
          <w:sz w:val="22"/>
          <w:szCs w:val="22"/>
        </w:rPr>
        <w:t>:</w:t>
      </w:r>
    </w:p>
    <w:p w:rsidR="009E0F63" w:rsidRPr="005B7680" w:rsidRDefault="00E25077" w:rsidP="009E0F63">
      <w:pPr>
        <w:pStyle w:val="Default"/>
        <w:spacing w:after="120"/>
        <w:ind w:left="720"/>
        <w:rPr>
          <w:rFonts w:ascii="Verdana" w:hAnsi="Verdana" w:cs="Verdana"/>
          <w:sz w:val="22"/>
          <w:szCs w:val="22"/>
        </w:rPr>
      </w:pPr>
      <w:r>
        <w:rPr>
          <w:rFonts w:ascii="Verdana" w:hAnsi="Verdana" w:cs="Verdana"/>
          <w:sz w:val="22"/>
          <w:szCs w:val="22"/>
        </w:rPr>
        <w:fldChar w:fldCharType="begin">
          <w:ffData>
            <w:name w:val="Check1"/>
            <w:enabled/>
            <w:calcOnExit w:val="0"/>
            <w:checkBox>
              <w:sizeAuto/>
              <w:default w:val="1"/>
            </w:checkBox>
          </w:ffData>
        </w:fldChar>
      </w:r>
      <w:bookmarkStart w:id="1" w:name="Check1"/>
      <w:r w:rsidR="009E0F63">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end"/>
      </w:r>
      <w:bookmarkEnd w:id="1"/>
      <w:r w:rsidR="009E0F63" w:rsidRPr="005B7680">
        <w:rPr>
          <w:rFonts w:ascii="Verdana" w:hAnsi="Verdana" w:cs="Verdana"/>
          <w:sz w:val="22"/>
          <w:szCs w:val="22"/>
        </w:rPr>
        <w:tab/>
        <w:t xml:space="preserve">Community Health and Safety </w:t>
      </w:r>
    </w:p>
    <w:bookmarkStart w:id="2" w:name="Check2"/>
    <w:p w:rsidR="009E0F63" w:rsidRPr="005B7680" w:rsidRDefault="00E25077" w:rsidP="009E0F63">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2"/>
            <w:enabled/>
            <w:calcOnExit w:val="0"/>
            <w:checkBox>
              <w:sizeAuto/>
              <w:default w:val="0"/>
            </w:checkBox>
          </w:ffData>
        </w:fldChar>
      </w:r>
      <w:r w:rsidR="009E0F63"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2"/>
      <w:r w:rsidR="009E0F63" w:rsidRPr="005B7680">
        <w:rPr>
          <w:rFonts w:ascii="Verdana" w:hAnsi="Verdana" w:cs="Verdana"/>
          <w:sz w:val="22"/>
          <w:szCs w:val="22"/>
        </w:rPr>
        <w:tab/>
        <w:t xml:space="preserve">Community Partnership </w:t>
      </w:r>
    </w:p>
    <w:bookmarkStart w:id="3" w:name="Check3"/>
    <w:p w:rsidR="009E0F63" w:rsidRPr="005B7680" w:rsidRDefault="00E25077" w:rsidP="009E0F63">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3"/>
            <w:enabled/>
            <w:calcOnExit w:val="0"/>
            <w:checkBox>
              <w:sizeAuto/>
              <w:default w:val="0"/>
            </w:checkBox>
          </w:ffData>
        </w:fldChar>
      </w:r>
      <w:r w:rsidR="009E0F63"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3"/>
      <w:r w:rsidR="009E0F63" w:rsidRPr="005B7680">
        <w:rPr>
          <w:rFonts w:ascii="Verdana" w:hAnsi="Verdana" w:cs="Verdana"/>
          <w:sz w:val="22"/>
          <w:szCs w:val="22"/>
        </w:rPr>
        <w:tab/>
        <w:t xml:space="preserve">Community Sustainability </w:t>
      </w:r>
    </w:p>
    <w:bookmarkStart w:id="4" w:name="Check4"/>
    <w:p w:rsidR="009E0F63" w:rsidRDefault="00E25077" w:rsidP="009E0F63">
      <w:pPr>
        <w:pStyle w:val="Default"/>
        <w:spacing w:after="120"/>
        <w:ind w:left="720"/>
        <w:rPr>
          <w:rFonts w:ascii="Verdana" w:hAnsi="Verdana" w:cs="Verdana"/>
        </w:rPr>
      </w:pPr>
      <w:r w:rsidRPr="005B7680">
        <w:rPr>
          <w:rFonts w:ascii="Verdana" w:hAnsi="Verdana" w:cs="Verdana"/>
          <w:sz w:val="22"/>
          <w:szCs w:val="22"/>
        </w:rPr>
        <w:fldChar w:fldCharType="begin">
          <w:ffData>
            <w:name w:val="Check4"/>
            <w:enabled/>
            <w:calcOnExit w:val="0"/>
            <w:checkBox>
              <w:sizeAuto/>
              <w:default w:val="0"/>
            </w:checkBox>
          </w:ffData>
        </w:fldChar>
      </w:r>
      <w:r w:rsidR="009E0F63"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4"/>
      <w:r w:rsidR="009E0F63" w:rsidRPr="005B7680">
        <w:rPr>
          <w:rFonts w:ascii="Verdana" w:hAnsi="Verdana" w:cs="Verdana"/>
          <w:sz w:val="22"/>
          <w:szCs w:val="22"/>
        </w:rPr>
        <w:tab/>
        <w:t xml:space="preserve">Strategic </w:t>
      </w:r>
      <w:r w:rsidR="009E0F63" w:rsidRPr="009D68B7">
        <w:rPr>
          <w:rFonts w:ascii="Verdana" w:hAnsi="Verdana" w:cs="Verdana"/>
          <w:sz w:val="22"/>
          <w:szCs w:val="22"/>
        </w:rPr>
        <w:t>Lea</w:t>
      </w:r>
      <w:r w:rsidR="009E0F63" w:rsidRPr="009D68B7">
        <w:rPr>
          <w:rFonts w:ascii="Verdana" w:hAnsi="Verdana" w:cs="Verdana"/>
          <w:sz w:val="22"/>
        </w:rPr>
        <w:t>dership and Governance</w:t>
      </w:r>
    </w:p>
    <w:tbl>
      <w:tblPr>
        <w:tblW w:w="0" w:type="auto"/>
        <w:tblLayout w:type="fixed"/>
        <w:tblCellMar>
          <w:left w:w="115" w:type="dxa"/>
          <w:right w:w="115" w:type="dxa"/>
        </w:tblCellMar>
        <w:tblLook w:val="01E0" w:firstRow="1" w:lastRow="1" w:firstColumn="1" w:lastColumn="1" w:noHBand="0" w:noVBand="0"/>
      </w:tblPr>
      <w:tblGrid>
        <w:gridCol w:w="2538"/>
        <w:gridCol w:w="2250"/>
        <w:gridCol w:w="277"/>
        <w:gridCol w:w="270"/>
        <w:gridCol w:w="1847"/>
        <w:gridCol w:w="2394"/>
      </w:tblGrid>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Name of program being nominated:</w:t>
            </w:r>
          </w:p>
        </w:tc>
        <w:tc>
          <w:tcPr>
            <w:tcW w:w="7038" w:type="dxa"/>
            <w:gridSpan w:val="5"/>
          </w:tcPr>
          <w:p w:rsidR="009E0F63" w:rsidRPr="00C6477E" w:rsidRDefault="00646974" w:rsidP="009E0F63">
            <w:pPr>
              <w:pStyle w:val="Default"/>
              <w:spacing w:before="80" w:after="80"/>
              <w:rPr>
                <w:rFonts w:ascii="Verdana" w:hAnsi="Verdana" w:cs="Verdana"/>
                <w:sz w:val="22"/>
                <w:szCs w:val="22"/>
                <w:u w:val="single"/>
              </w:rPr>
            </w:pPr>
            <w:r>
              <w:rPr>
                <w:rFonts w:ascii="Verdana" w:hAnsi="Verdana" w:cs="Verdana"/>
                <w:sz w:val="22"/>
                <w:szCs w:val="22"/>
                <w:u w:val="single"/>
              </w:rPr>
              <w:t>Evidence-B</w:t>
            </w:r>
            <w:r w:rsidR="009E0F63" w:rsidRPr="00C6477E">
              <w:rPr>
                <w:rFonts w:ascii="Verdana" w:hAnsi="Verdana" w:cs="Verdana"/>
                <w:sz w:val="22"/>
                <w:szCs w:val="22"/>
                <w:u w:val="single"/>
              </w:rPr>
              <w:t xml:space="preserve">ased </w:t>
            </w:r>
            <w:r>
              <w:rPr>
                <w:rFonts w:ascii="Verdana" w:hAnsi="Verdana" w:cs="Verdana"/>
                <w:sz w:val="22"/>
                <w:szCs w:val="22"/>
                <w:u w:val="single"/>
              </w:rPr>
              <w:t>Fire Reduction S</w:t>
            </w:r>
            <w:r w:rsidR="009E0F63" w:rsidRPr="00C6477E">
              <w:rPr>
                <w:rFonts w:ascii="Verdana" w:hAnsi="Verdana" w:cs="Verdana"/>
                <w:sz w:val="22"/>
                <w:szCs w:val="22"/>
                <w:u w:val="single"/>
              </w:rPr>
              <w:t>trategy</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Jurisdiction(s) where program originated:</w:t>
            </w:r>
          </w:p>
        </w:tc>
        <w:tc>
          <w:tcPr>
            <w:tcW w:w="7038" w:type="dxa"/>
            <w:gridSpan w:val="5"/>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 xml:space="preserve">City </w:t>
            </w:r>
            <w:r w:rsidR="00E04CD7">
              <w:rPr>
                <w:rFonts w:ascii="Verdana" w:hAnsi="Verdana" w:cs="Verdana"/>
                <w:sz w:val="22"/>
                <w:szCs w:val="22"/>
                <w:u w:val="single"/>
              </w:rPr>
              <w:t>of Surrey</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Jurisdiction population(s):</w:t>
            </w:r>
          </w:p>
        </w:tc>
        <w:tc>
          <w:tcPr>
            <w:tcW w:w="7038" w:type="dxa"/>
            <w:gridSpan w:val="5"/>
          </w:tcPr>
          <w:p w:rsidR="009E0F63" w:rsidRPr="00C6477E" w:rsidRDefault="00F40B10" w:rsidP="009E0F63">
            <w:pPr>
              <w:pStyle w:val="Default"/>
              <w:spacing w:before="80" w:after="80"/>
              <w:rPr>
                <w:rFonts w:ascii="Verdana" w:hAnsi="Verdana" w:cs="Verdana"/>
                <w:sz w:val="22"/>
                <w:szCs w:val="22"/>
              </w:rPr>
            </w:pPr>
            <w:r>
              <w:rPr>
                <w:rFonts w:ascii="Verdana" w:hAnsi="Verdana" w:cs="Verdana"/>
                <w:sz w:val="22"/>
                <w:szCs w:val="22"/>
                <w:u w:val="single"/>
              </w:rPr>
              <w:t>484</w:t>
            </w:r>
            <w:r w:rsidR="009E0F63" w:rsidRPr="00C6477E">
              <w:rPr>
                <w:rFonts w:ascii="Verdana" w:hAnsi="Verdana" w:cs="Verdana"/>
                <w:sz w:val="22"/>
                <w:szCs w:val="22"/>
                <w:u w:val="single"/>
              </w:rPr>
              <w:t>,000</w:t>
            </w:r>
          </w:p>
        </w:tc>
      </w:tr>
      <w:tr w:rsidR="009E0F63">
        <w:tc>
          <w:tcPr>
            <w:tcW w:w="9576" w:type="dxa"/>
            <w:gridSpan w:val="6"/>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Please indicate the month and year in which the program you are nominating was fully implemented. (Note: All Program Excellence Award nominations must have been fully implemented by or before January 31, 2011, to be eligible. The start date should not include the initial planning phase.)</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Month:</w:t>
            </w:r>
          </w:p>
        </w:tc>
        <w:tc>
          <w:tcPr>
            <w:tcW w:w="2250" w:type="dxa"/>
          </w:tcPr>
          <w:p w:rsidR="009E0F63" w:rsidRPr="00C6477E" w:rsidRDefault="00143C3C" w:rsidP="009E0F63">
            <w:pPr>
              <w:pStyle w:val="Default"/>
              <w:spacing w:before="80" w:after="80"/>
              <w:rPr>
                <w:rFonts w:ascii="Verdana" w:hAnsi="Verdana" w:cs="Verdana"/>
                <w:sz w:val="22"/>
                <w:szCs w:val="22"/>
              </w:rPr>
            </w:pPr>
            <w:r>
              <w:rPr>
                <w:rFonts w:ascii="Verdana" w:hAnsi="Verdana" w:cs="Verdana"/>
                <w:sz w:val="22"/>
                <w:szCs w:val="22"/>
                <w:u w:val="single"/>
              </w:rPr>
              <w:t>October</w:t>
            </w:r>
          </w:p>
        </w:tc>
        <w:tc>
          <w:tcPr>
            <w:tcW w:w="2394" w:type="dxa"/>
            <w:gridSpan w:val="3"/>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Year:</w:t>
            </w:r>
          </w:p>
        </w:tc>
        <w:tc>
          <w:tcPr>
            <w:tcW w:w="2394" w:type="dxa"/>
          </w:tcPr>
          <w:p w:rsidR="009E0F63" w:rsidRPr="00C6477E" w:rsidRDefault="00BC2538" w:rsidP="00143C3C">
            <w:pPr>
              <w:pStyle w:val="Default"/>
              <w:spacing w:before="80" w:after="80"/>
              <w:rPr>
                <w:rFonts w:ascii="Verdana" w:hAnsi="Verdana" w:cs="Verdana"/>
                <w:sz w:val="22"/>
                <w:szCs w:val="22"/>
              </w:rPr>
            </w:pPr>
            <w:r>
              <w:rPr>
                <w:rFonts w:ascii="Verdana" w:hAnsi="Verdana" w:cs="Verdana"/>
                <w:sz w:val="22"/>
                <w:szCs w:val="22"/>
                <w:u w:val="single"/>
              </w:rPr>
              <w:t>200</w:t>
            </w:r>
            <w:r w:rsidR="00143C3C">
              <w:rPr>
                <w:rFonts w:ascii="Verdana" w:hAnsi="Verdana" w:cs="Verdana"/>
                <w:sz w:val="22"/>
                <w:szCs w:val="22"/>
                <w:u w:val="single"/>
              </w:rPr>
              <w:t>8</w:t>
            </w:r>
          </w:p>
        </w:tc>
      </w:tr>
      <w:tr w:rsidR="009E0F63">
        <w:tc>
          <w:tcPr>
            <w:tcW w:w="9576" w:type="dxa"/>
            <w:gridSpan w:val="6"/>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Name(s) and title(s) of individual(s) who should receive recognition for this award at the ICMA Annual Conference in Phoenix, Arizona, October 2012. (Each individual listed MUST be an ICMA member to be recognized.):</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Name:</w:t>
            </w:r>
          </w:p>
        </w:tc>
        <w:tc>
          <w:tcPr>
            <w:tcW w:w="7038" w:type="dxa"/>
            <w:gridSpan w:val="5"/>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Murray Dinwoodie</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Title:</w:t>
            </w:r>
          </w:p>
        </w:tc>
        <w:tc>
          <w:tcPr>
            <w:tcW w:w="2527" w:type="dxa"/>
            <w:gridSpan w:val="2"/>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City Manager</w:t>
            </w:r>
          </w:p>
        </w:tc>
        <w:tc>
          <w:tcPr>
            <w:tcW w:w="2117" w:type="dxa"/>
            <w:gridSpan w:val="2"/>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Jurisdiction:</w:t>
            </w:r>
          </w:p>
        </w:tc>
        <w:tc>
          <w:tcPr>
            <w:tcW w:w="2394"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City of Surrey, British Columbia</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p>
        </w:tc>
        <w:tc>
          <w:tcPr>
            <w:tcW w:w="7038" w:type="dxa"/>
            <w:gridSpan w:val="5"/>
          </w:tcPr>
          <w:p w:rsidR="009E0F63" w:rsidRPr="00C6477E" w:rsidRDefault="009E0F63" w:rsidP="009E0F63">
            <w:pPr>
              <w:pStyle w:val="Default"/>
              <w:spacing w:before="80" w:after="80"/>
              <w:rPr>
                <w:rFonts w:ascii="Verdana" w:hAnsi="Verdana" w:cs="Verdana"/>
                <w:sz w:val="22"/>
                <w:szCs w:val="22"/>
              </w:rPr>
            </w:pPr>
          </w:p>
        </w:tc>
      </w:tr>
      <w:tr w:rsidR="00646974">
        <w:tc>
          <w:tcPr>
            <w:tcW w:w="2538" w:type="dxa"/>
          </w:tcPr>
          <w:p w:rsidR="00646974" w:rsidRPr="00C6477E" w:rsidRDefault="00646974" w:rsidP="00ED65FE">
            <w:pPr>
              <w:pStyle w:val="Default"/>
              <w:spacing w:before="80" w:after="80"/>
              <w:rPr>
                <w:rFonts w:ascii="Verdana" w:hAnsi="Verdana" w:cs="Verdana"/>
                <w:sz w:val="22"/>
                <w:szCs w:val="22"/>
              </w:rPr>
            </w:pPr>
          </w:p>
        </w:tc>
        <w:tc>
          <w:tcPr>
            <w:tcW w:w="2797" w:type="dxa"/>
            <w:gridSpan w:val="3"/>
          </w:tcPr>
          <w:p w:rsidR="00646974" w:rsidRPr="00C6477E" w:rsidRDefault="00646974" w:rsidP="009E0F63">
            <w:pPr>
              <w:pStyle w:val="Default"/>
              <w:spacing w:before="80" w:after="80"/>
              <w:rPr>
                <w:rFonts w:ascii="Verdana" w:hAnsi="Verdana" w:cs="Verdana"/>
                <w:sz w:val="22"/>
                <w:szCs w:val="22"/>
              </w:rPr>
            </w:pPr>
          </w:p>
        </w:tc>
        <w:tc>
          <w:tcPr>
            <w:tcW w:w="1847" w:type="dxa"/>
          </w:tcPr>
          <w:p w:rsidR="00646974" w:rsidRPr="00C6477E" w:rsidRDefault="00646974" w:rsidP="009E0F63">
            <w:pPr>
              <w:pStyle w:val="Default"/>
              <w:spacing w:before="80" w:after="80"/>
              <w:rPr>
                <w:rFonts w:ascii="Verdana" w:hAnsi="Verdana" w:cs="Verdana"/>
                <w:sz w:val="22"/>
                <w:szCs w:val="22"/>
              </w:rPr>
            </w:pPr>
          </w:p>
        </w:tc>
        <w:tc>
          <w:tcPr>
            <w:tcW w:w="2394" w:type="dxa"/>
          </w:tcPr>
          <w:p w:rsidR="00646974" w:rsidRPr="00C6477E" w:rsidRDefault="00646974" w:rsidP="009E0F63">
            <w:pPr>
              <w:pStyle w:val="Default"/>
              <w:spacing w:before="80" w:after="80"/>
              <w:rPr>
                <w:rFonts w:ascii="Verdana" w:hAnsi="Verdana" w:cs="Verdana"/>
                <w:sz w:val="22"/>
                <w:szCs w:val="22"/>
              </w:rPr>
            </w:pPr>
          </w:p>
        </w:tc>
      </w:tr>
      <w:tr w:rsidR="00646974">
        <w:tc>
          <w:tcPr>
            <w:tcW w:w="2538" w:type="dxa"/>
          </w:tcPr>
          <w:p w:rsidR="00646974" w:rsidRPr="00C6477E" w:rsidRDefault="00646974" w:rsidP="009E0F63">
            <w:pPr>
              <w:pStyle w:val="Default"/>
              <w:spacing w:before="80" w:after="80"/>
              <w:rPr>
                <w:rFonts w:ascii="Verdana" w:hAnsi="Verdana" w:cs="Verdana"/>
                <w:sz w:val="22"/>
                <w:szCs w:val="22"/>
              </w:rPr>
            </w:pPr>
          </w:p>
        </w:tc>
        <w:tc>
          <w:tcPr>
            <w:tcW w:w="7038" w:type="dxa"/>
            <w:gridSpan w:val="5"/>
          </w:tcPr>
          <w:p w:rsidR="00646974" w:rsidRPr="00C6477E" w:rsidRDefault="00646974" w:rsidP="009E0F63">
            <w:pPr>
              <w:pStyle w:val="Default"/>
              <w:spacing w:before="80" w:after="80"/>
              <w:rPr>
                <w:rFonts w:ascii="Verdana" w:hAnsi="Verdana" w:cs="Verdana"/>
                <w:sz w:val="22"/>
                <w:szCs w:val="22"/>
              </w:rPr>
            </w:pPr>
          </w:p>
        </w:tc>
      </w:tr>
      <w:tr w:rsidR="00646974">
        <w:trPr>
          <w:trHeight w:val="242"/>
        </w:trPr>
        <w:tc>
          <w:tcPr>
            <w:tcW w:w="2538" w:type="dxa"/>
          </w:tcPr>
          <w:p w:rsidR="00646974" w:rsidRPr="00C6477E" w:rsidRDefault="00646974" w:rsidP="009E0F63">
            <w:pPr>
              <w:pStyle w:val="Default"/>
              <w:spacing w:before="80" w:after="80"/>
              <w:rPr>
                <w:rFonts w:ascii="Verdana" w:hAnsi="Verdana" w:cs="Verdana"/>
                <w:sz w:val="22"/>
                <w:szCs w:val="22"/>
              </w:rPr>
            </w:pPr>
          </w:p>
        </w:tc>
        <w:tc>
          <w:tcPr>
            <w:tcW w:w="2250" w:type="dxa"/>
          </w:tcPr>
          <w:p w:rsidR="00646974" w:rsidRPr="00C6477E" w:rsidRDefault="00646974" w:rsidP="009E0F63">
            <w:pPr>
              <w:pStyle w:val="Default"/>
              <w:spacing w:before="80" w:after="80"/>
              <w:rPr>
                <w:rFonts w:ascii="Verdana" w:hAnsi="Verdana" w:cs="Verdana"/>
                <w:sz w:val="22"/>
                <w:szCs w:val="22"/>
              </w:rPr>
            </w:pPr>
          </w:p>
        </w:tc>
        <w:tc>
          <w:tcPr>
            <w:tcW w:w="2394" w:type="dxa"/>
            <w:gridSpan w:val="3"/>
          </w:tcPr>
          <w:p w:rsidR="00646974" w:rsidRPr="00C6477E" w:rsidRDefault="00646974" w:rsidP="009E0F63">
            <w:pPr>
              <w:pStyle w:val="Default"/>
              <w:spacing w:before="80" w:after="80"/>
              <w:rPr>
                <w:rFonts w:ascii="Verdana" w:hAnsi="Verdana" w:cs="Verdana"/>
                <w:sz w:val="22"/>
                <w:szCs w:val="22"/>
              </w:rPr>
            </w:pPr>
          </w:p>
        </w:tc>
        <w:tc>
          <w:tcPr>
            <w:tcW w:w="2394" w:type="dxa"/>
          </w:tcPr>
          <w:p w:rsidR="00646974" w:rsidRPr="00C6477E" w:rsidRDefault="00646974" w:rsidP="009E0F63">
            <w:pPr>
              <w:pStyle w:val="Default"/>
              <w:spacing w:before="80" w:after="80"/>
              <w:rPr>
                <w:rFonts w:ascii="Verdana" w:hAnsi="Verdana" w:cs="Verdana"/>
                <w:sz w:val="22"/>
                <w:szCs w:val="22"/>
              </w:rPr>
            </w:pPr>
          </w:p>
        </w:tc>
      </w:tr>
    </w:tbl>
    <w:p w:rsidR="009E0F63" w:rsidRDefault="009E0F63" w:rsidP="009E0F63">
      <w:pPr>
        <w:pStyle w:val="Default"/>
        <w:spacing w:before="80" w:after="80"/>
        <w:rPr>
          <w:rFonts w:ascii="Verdana" w:hAnsi="Verdana" w:cs="Verdana"/>
          <w:sz w:val="22"/>
          <w:szCs w:val="22"/>
        </w:rPr>
      </w:pPr>
    </w:p>
    <w:p w:rsidR="009E0F63" w:rsidRPr="005F2E13" w:rsidRDefault="009E0F63" w:rsidP="009E0F63">
      <w:pPr>
        <w:pStyle w:val="Heading3"/>
        <w:spacing w:before="80" w:after="80"/>
        <w:rPr>
          <w:rFonts w:ascii="Verdana" w:hAnsi="Verdana" w:cs="Verdana"/>
          <w:color w:val="005597"/>
          <w:sz w:val="22"/>
          <w:szCs w:val="22"/>
        </w:rPr>
      </w:pPr>
      <w:r w:rsidRPr="005F2E13">
        <w:rPr>
          <w:rFonts w:ascii="Verdana" w:hAnsi="Verdana" w:cs="Verdana"/>
          <w:color w:val="005597"/>
          <w:sz w:val="22"/>
          <w:szCs w:val="22"/>
        </w:rPr>
        <w:t xml:space="preserve">SECTION 2: Information </w:t>
      </w:r>
      <w:proofErr w:type="gramStart"/>
      <w:r w:rsidRPr="005F2E13">
        <w:rPr>
          <w:rFonts w:ascii="Verdana" w:hAnsi="Verdana" w:cs="Verdana"/>
          <w:color w:val="005597"/>
          <w:sz w:val="22"/>
          <w:szCs w:val="22"/>
        </w:rPr>
        <w:t>About</w:t>
      </w:r>
      <w:proofErr w:type="gramEnd"/>
      <w:r w:rsidRPr="005F2E13">
        <w:rPr>
          <w:rFonts w:ascii="Verdana" w:hAnsi="Verdana" w:cs="Verdana"/>
          <w:color w:val="005597"/>
          <w:sz w:val="22"/>
          <w:szCs w:val="22"/>
        </w:rPr>
        <w:t xml:space="preserve"> the Nominator/Primary Contact </w:t>
      </w:r>
    </w:p>
    <w:tbl>
      <w:tblPr>
        <w:tblW w:w="0" w:type="auto"/>
        <w:tblLook w:val="01E0" w:firstRow="1" w:lastRow="1" w:firstColumn="1" w:lastColumn="1" w:noHBand="0" w:noVBand="0"/>
      </w:tblPr>
      <w:tblGrid>
        <w:gridCol w:w="2538"/>
        <w:gridCol w:w="2250"/>
        <w:gridCol w:w="455"/>
        <w:gridCol w:w="1939"/>
        <w:gridCol w:w="2394"/>
      </w:tblGrid>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Name of contact:</w:t>
            </w:r>
          </w:p>
        </w:tc>
        <w:tc>
          <w:tcPr>
            <w:tcW w:w="7038" w:type="dxa"/>
            <w:gridSpan w:val="4"/>
          </w:tcPr>
          <w:p w:rsidR="009E0F63" w:rsidRPr="00C6477E" w:rsidRDefault="009E0F63" w:rsidP="009E0F63">
            <w:pPr>
              <w:pStyle w:val="Default"/>
              <w:spacing w:before="80" w:after="80"/>
              <w:rPr>
                <w:rFonts w:ascii="Verdana" w:hAnsi="Verdana" w:cs="Verdana"/>
                <w:sz w:val="22"/>
                <w:szCs w:val="22"/>
              </w:rPr>
            </w:pPr>
            <w:r>
              <w:rPr>
                <w:rFonts w:ascii="Verdana" w:hAnsi="Verdana" w:cs="Verdana"/>
                <w:sz w:val="22"/>
                <w:szCs w:val="22"/>
              </w:rPr>
              <w:t>Michael McGreer</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Title:</w:t>
            </w:r>
          </w:p>
        </w:tc>
        <w:tc>
          <w:tcPr>
            <w:tcW w:w="2705" w:type="dxa"/>
            <w:gridSpan w:val="2"/>
          </w:tcPr>
          <w:p w:rsidR="009E0F63" w:rsidRPr="00C6477E" w:rsidRDefault="009E0F63" w:rsidP="009E0F63">
            <w:pPr>
              <w:pStyle w:val="Default"/>
              <w:spacing w:before="80" w:after="80"/>
              <w:rPr>
                <w:rFonts w:ascii="Verdana" w:hAnsi="Verdana" w:cs="Verdana"/>
                <w:sz w:val="22"/>
                <w:szCs w:val="22"/>
              </w:rPr>
            </w:pPr>
            <w:r>
              <w:rPr>
                <w:rFonts w:ascii="Verdana" w:hAnsi="Verdana" w:cs="Verdana"/>
                <w:sz w:val="22"/>
                <w:szCs w:val="22"/>
              </w:rPr>
              <w:t>Economic Development Analyst</w:t>
            </w:r>
          </w:p>
        </w:tc>
        <w:tc>
          <w:tcPr>
            <w:tcW w:w="1939"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Jurisdiction:</w:t>
            </w:r>
          </w:p>
        </w:tc>
        <w:tc>
          <w:tcPr>
            <w:tcW w:w="2394"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City of Surrey, British Columbia</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Street address:</w:t>
            </w:r>
          </w:p>
        </w:tc>
        <w:tc>
          <w:tcPr>
            <w:tcW w:w="7038" w:type="dxa"/>
            <w:gridSpan w:val="4"/>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14245-56 Avenue</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City:</w:t>
            </w:r>
          </w:p>
        </w:tc>
        <w:tc>
          <w:tcPr>
            <w:tcW w:w="2250"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Surrey</w:t>
            </w:r>
          </w:p>
        </w:tc>
        <w:tc>
          <w:tcPr>
            <w:tcW w:w="2394" w:type="dxa"/>
            <w:gridSpan w:val="2"/>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State/Province:</w:t>
            </w:r>
          </w:p>
        </w:tc>
        <w:tc>
          <w:tcPr>
            <w:tcW w:w="2394"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BC</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Zip/Postal Code:</w:t>
            </w:r>
          </w:p>
        </w:tc>
        <w:tc>
          <w:tcPr>
            <w:tcW w:w="2250"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V3X 3A2</w:t>
            </w:r>
          </w:p>
        </w:tc>
        <w:tc>
          <w:tcPr>
            <w:tcW w:w="2394" w:type="dxa"/>
            <w:gridSpan w:val="2"/>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Country:</w:t>
            </w:r>
          </w:p>
        </w:tc>
        <w:tc>
          <w:tcPr>
            <w:tcW w:w="2394"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Canada</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Telephone:</w:t>
            </w:r>
          </w:p>
        </w:tc>
        <w:tc>
          <w:tcPr>
            <w:tcW w:w="2250"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604-591-41</w:t>
            </w:r>
            <w:r>
              <w:rPr>
                <w:rFonts w:ascii="Verdana" w:hAnsi="Verdana" w:cs="Verdana"/>
                <w:sz w:val="22"/>
                <w:szCs w:val="22"/>
                <w:u w:val="single"/>
              </w:rPr>
              <w:t>51</w:t>
            </w:r>
          </w:p>
        </w:tc>
        <w:tc>
          <w:tcPr>
            <w:tcW w:w="2394" w:type="dxa"/>
            <w:gridSpan w:val="2"/>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Fax:</w:t>
            </w:r>
          </w:p>
        </w:tc>
        <w:tc>
          <w:tcPr>
            <w:tcW w:w="2394"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u w:val="single"/>
              </w:rPr>
              <w:t>604-59</w:t>
            </w:r>
            <w:r>
              <w:rPr>
                <w:rFonts w:ascii="Verdana" w:hAnsi="Verdana" w:cs="Verdana"/>
                <w:sz w:val="22"/>
                <w:szCs w:val="22"/>
                <w:u w:val="single"/>
              </w:rPr>
              <w:t>4</w:t>
            </w:r>
            <w:r w:rsidRPr="00C6477E">
              <w:rPr>
                <w:rFonts w:ascii="Verdana" w:hAnsi="Verdana" w:cs="Verdana"/>
                <w:sz w:val="22"/>
                <w:szCs w:val="22"/>
                <w:u w:val="single"/>
              </w:rPr>
              <w:t>-</w:t>
            </w:r>
            <w:r>
              <w:rPr>
                <w:rFonts w:ascii="Verdana" w:hAnsi="Verdana" w:cs="Verdana"/>
                <w:sz w:val="22"/>
                <w:szCs w:val="22"/>
                <w:u w:val="single"/>
              </w:rPr>
              <w:t>3055</w:t>
            </w:r>
          </w:p>
        </w:tc>
      </w:tr>
      <w:tr w:rsidR="009E0F63">
        <w:tc>
          <w:tcPr>
            <w:tcW w:w="2538" w:type="dxa"/>
          </w:tcPr>
          <w:p w:rsidR="009E0F63" w:rsidRPr="00C6477E" w:rsidRDefault="009E0F63" w:rsidP="009E0F63">
            <w:pPr>
              <w:pStyle w:val="Default"/>
              <w:spacing w:before="80" w:after="80"/>
              <w:rPr>
                <w:rFonts w:ascii="Verdana" w:hAnsi="Verdana" w:cs="Verdana"/>
                <w:sz w:val="22"/>
                <w:szCs w:val="22"/>
              </w:rPr>
            </w:pPr>
            <w:r w:rsidRPr="00C6477E">
              <w:rPr>
                <w:rFonts w:ascii="Verdana" w:hAnsi="Verdana" w:cs="Verdana"/>
                <w:sz w:val="22"/>
                <w:szCs w:val="22"/>
              </w:rPr>
              <w:t>E-mail:</w:t>
            </w:r>
          </w:p>
        </w:tc>
        <w:tc>
          <w:tcPr>
            <w:tcW w:w="7038" w:type="dxa"/>
            <w:gridSpan w:val="4"/>
          </w:tcPr>
          <w:p w:rsidR="009E0F63" w:rsidRPr="00C6477E" w:rsidRDefault="009E0F63" w:rsidP="009E0F63">
            <w:pPr>
              <w:pStyle w:val="Default"/>
              <w:spacing w:before="80" w:after="80"/>
              <w:rPr>
                <w:rFonts w:ascii="Verdana" w:hAnsi="Verdana" w:cs="Verdana"/>
                <w:sz w:val="22"/>
                <w:szCs w:val="22"/>
              </w:rPr>
            </w:pPr>
            <w:r>
              <w:rPr>
                <w:rFonts w:ascii="Verdana" w:hAnsi="Verdana" w:cs="Verdana"/>
                <w:sz w:val="22"/>
                <w:szCs w:val="22"/>
                <w:u w:val="single"/>
              </w:rPr>
              <w:t>mmcgreer@surrey.ca</w:t>
            </w:r>
            <w:r w:rsidRPr="00C6477E">
              <w:rPr>
                <w:rFonts w:ascii="Verdana" w:hAnsi="Verdana" w:cs="Verdana"/>
                <w:sz w:val="22"/>
                <w:szCs w:val="22"/>
                <w:u w:val="single"/>
              </w:rPr>
              <w:t xml:space="preserve"> </w:t>
            </w:r>
          </w:p>
        </w:tc>
      </w:tr>
    </w:tbl>
    <w:p w:rsidR="009E0F63" w:rsidRDefault="009E0F63" w:rsidP="009E0F63">
      <w:pPr>
        <w:pStyle w:val="Default"/>
        <w:rPr>
          <w:rFonts w:ascii="Verdana" w:hAnsi="Verdana" w:cs="Verdana"/>
          <w:sz w:val="22"/>
          <w:szCs w:val="22"/>
        </w:rPr>
      </w:pPr>
    </w:p>
    <w:p w:rsidR="009E0F63" w:rsidRDefault="009E0F63" w:rsidP="009E0F63">
      <w:pPr>
        <w:pStyle w:val="Default"/>
        <w:rPr>
          <w:rFonts w:ascii="Verdana" w:hAnsi="Verdana" w:cs="Verdana"/>
          <w:sz w:val="22"/>
          <w:szCs w:val="22"/>
        </w:rPr>
      </w:pPr>
    </w:p>
    <w:p w:rsidR="009E0F63" w:rsidRPr="00226D1B" w:rsidRDefault="009E0F63" w:rsidP="009E0F63">
      <w:pPr>
        <w:pStyle w:val="Heading3"/>
        <w:pBdr>
          <w:top w:val="single" w:sz="4" w:space="1" w:color="auto"/>
          <w:left w:val="single" w:sz="4" w:space="4" w:color="auto"/>
          <w:bottom w:val="single" w:sz="4" w:space="1" w:color="auto"/>
          <w:right w:val="single" w:sz="4" w:space="4" w:color="auto"/>
        </w:pBdr>
        <w:rPr>
          <w:rFonts w:ascii="Verdana" w:hAnsi="Verdana" w:cs="Verdana"/>
          <w:color w:val="005597"/>
          <w:sz w:val="22"/>
          <w:szCs w:val="22"/>
        </w:rPr>
      </w:pPr>
      <w:r w:rsidRPr="00226D1B">
        <w:rPr>
          <w:rFonts w:ascii="Verdana" w:hAnsi="Verdana" w:cs="Verdana"/>
          <w:color w:val="005597"/>
          <w:sz w:val="22"/>
          <w:szCs w:val="22"/>
        </w:rPr>
        <w:t xml:space="preserve">Submitting a Nomination </w:t>
      </w:r>
    </w:p>
    <w:p w:rsidR="009E0F63" w:rsidRPr="00A233D4" w:rsidRDefault="009E0F63" w:rsidP="009E0F63">
      <w:pPr>
        <w:pStyle w:val="Default"/>
        <w:pBdr>
          <w:top w:val="single" w:sz="4" w:space="1" w:color="auto"/>
          <w:left w:val="single" w:sz="4" w:space="4" w:color="auto"/>
          <w:bottom w:val="single" w:sz="4" w:space="1" w:color="auto"/>
          <w:right w:val="single" w:sz="4" w:space="4" w:color="auto"/>
        </w:pBdr>
      </w:pPr>
      <w:r w:rsidRPr="005B0F0E">
        <w:rPr>
          <w:rFonts w:ascii="Verdana" w:hAnsi="Verdana" w:cs="Verdana"/>
          <w:sz w:val="22"/>
          <w:szCs w:val="22"/>
        </w:rPr>
        <w:t xml:space="preserve">Forward the nomination form and descriptive narrative to be received at ICMA by close of business on </w:t>
      </w:r>
      <w:r w:rsidRPr="00EF35EA">
        <w:rPr>
          <w:rFonts w:ascii="Verdana" w:hAnsi="Verdana" w:cs="Verdana"/>
          <w:b/>
          <w:sz w:val="22"/>
          <w:szCs w:val="22"/>
        </w:rPr>
        <w:t xml:space="preserve">March </w:t>
      </w:r>
      <w:r w:rsidR="00ED65FE">
        <w:rPr>
          <w:rFonts w:ascii="Verdana" w:hAnsi="Verdana" w:cs="Verdana"/>
          <w:b/>
          <w:sz w:val="22"/>
          <w:szCs w:val="22"/>
        </w:rPr>
        <w:t>8</w:t>
      </w:r>
      <w:r w:rsidRPr="00EF35EA">
        <w:rPr>
          <w:rFonts w:ascii="Verdana" w:hAnsi="Verdana" w:cs="Verdana"/>
          <w:b/>
          <w:sz w:val="22"/>
          <w:szCs w:val="22"/>
        </w:rPr>
        <w:t>, 201</w:t>
      </w:r>
      <w:r w:rsidR="00ED65FE">
        <w:rPr>
          <w:rFonts w:ascii="Verdana" w:hAnsi="Verdana" w:cs="Verdana"/>
          <w:b/>
          <w:sz w:val="22"/>
          <w:szCs w:val="22"/>
        </w:rPr>
        <w:t>3</w:t>
      </w:r>
      <w:r w:rsidRPr="005B0F0E">
        <w:rPr>
          <w:rFonts w:ascii="Verdana" w:hAnsi="Verdana" w:cs="Verdana"/>
          <w:sz w:val="22"/>
          <w:szCs w:val="22"/>
        </w:rPr>
        <w:t xml:space="preserve">. </w:t>
      </w:r>
      <w:r>
        <w:rPr>
          <w:rFonts w:ascii="Verdana" w:hAnsi="Verdana" w:cs="Verdana"/>
          <w:sz w:val="22"/>
          <w:szCs w:val="22"/>
        </w:rPr>
        <w:t>Please email all submissions</w:t>
      </w:r>
      <w:r w:rsidRPr="005B0F0E">
        <w:rPr>
          <w:rFonts w:ascii="Verdana" w:hAnsi="Verdana" w:cs="Verdana"/>
          <w:sz w:val="22"/>
          <w:szCs w:val="22"/>
        </w:rPr>
        <w:t xml:space="preserve"> to: </w:t>
      </w:r>
      <w:hyperlink r:id="rId10" w:history="1">
        <w:r w:rsidRPr="005B0F0E">
          <w:rPr>
            <w:rStyle w:val="Hyperlink"/>
            <w:rFonts w:ascii="Verdana" w:hAnsi="Verdana" w:cs="Verdana"/>
            <w:color w:val="000000"/>
            <w:sz w:val="22"/>
            <w:szCs w:val="22"/>
            <w:u w:val="none"/>
          </w:rPr>
          <w:t>awards@icma.org</w:t>
        </w:r>
      </w:hyperlink>
      <w:r>
        <w:t>.</w:t>
      </w:r>
      <w:r w:rsidRPr="005B0F0E">
        <w:rPr>
          <w:rFonts w:ascii="Verdana" w:hAnsi="Verdana" w:cs="Verdana"/>
          <w:sz w:val="22"/>
          <w:szCs w:val="22"/>
        </w:rPr>
        <w:t xml:space="preserve"> </w:t>
      </w:r>
    </w:p>
    <w:p w:rsidR="009E0F63" w:rsidRPr="005B0F0E" w:rsidRDefault="009E0F63" w:rsidP="009E0F63">
      <w:pPr>
        <w:pStyle w:val="Default"/>
        <w:pBdr>
          <w:top w:val="single" w:sz="4" w:space="1" w:color="auto"/>
          <w:left w:val="single" w:sz="4" w:space="4" w:color="auto"/>
          <w:bottom w:val="single" w:sz="4" w:space="1" w:color="auto"/>
          <w:right w:val="single" w:sz="4" w:space="4" w:color="auto"/>
        </w:pBdr>
        <w:rPr>
          <w:rFonts w:ascii="Verdana" w:hAnsi="Verdana" w:cs="Verdana"/>
          <w:sz w:val="22"/>
          <w:szCs w:val="22"/>
        </w:rPr>
      </w:pPr>
    </w:p>
    <w:p w:rsidR="009E0F63" w:rsidRPr="005B0F0E" w:rsidRDefault="009E0F63" w:rsidP="009E0F63">
      <w:pPr>
        <w:pStyle w:val="Default"/>
        <w:pBdr>
          <w:top w:val="single" w:sz="4" w:space="1" w:color="auto"/>
          <w:left w:val="single" w:sz="4" w:space="4" w:color="auto"/>
          <w:bottom w:val="single" w:sz="4" w:space="1" w:color="auto"/>
          <w:right w:val="single" w:sz="4" w:space="4" w:color="auto"/>
        </w:pBdr>
        <w:rPr>
          <w:rFonts w:ascii="Verdana" w:hAnsi="Verdana" w:cs="Verdana"/>
          <w:sz w:val="22"/>
          <w:szCs w:val="22"/>
        </w:rPr>
      </w:pPr>
      <w:r w:rsidRPr="005B0F0E">
        <w:rPr>
          <w:rFonts w:ascii="Verdana" w:hAnsi="Verdana" w:cs="Verdana"/>
          <w:sz w:val="22"/>
          <w:szCs w:val="22"/>
        </w:rPr>
        <w:t xml:space="preserve">Questions should be addressed to ICMA’s Awards Program at </w:t>
      </w:r>
      <w:hyperlink r:id="rId11" w:history="1">
        <w:r w:rsidRPr="005B0F0E">
          <w:rPr>
            <w:rStyle w:val="Hyperlink"/>
            <w:rFonts w:ascii="Verdana" w:hAnsi="Verdana" w:cs="Verdana"/>
            <w:color w:val="000000"/>
            <w:sz w:val="22"/>
            <w:szCs w:val="22"/>
            <w:u w:val="none"/>
          </w:rPr>
          <w:t>awards@icma.org</w:t>
        </w:r>
      </w:hyperlink>
      <w:r w:rsidRPr="005B0F0E">
        <w:rPr>
          <w:rFonts w:ascii="Verdana" w:hAnsi="Verdana" w:cs="Verdana"/>
          <w:sz w:val="22"/>
          <w:szCs w:val="22"/>
        </w:rPr>
        <w:t xml:space="preserve"> or 202/</w:t>
      </w:r>
      <w:r>
        <w:rPr>
          <w:rFonts w:ascii="Verdana" w:hAnsi="Verdana" w:cs="Verdana"/>
          <w:sz w:val="22"/>
          <w:szCs w:val="22"/>
        </w:rPr>
        <w:t>962-3656</w:t>
      </w:r>
      <w:r w:rsidRPr="005B0F0E">
        <w:rPr>
          <w:rFonts w:ascii="Verdana" w:hAnsi="Verdana" w:cs="Verdana"/>
          <w:sz w:val="22"/>
          <w:szCs w:val="22"/>
        </w:rPr>
        <w:t>.</w:t>
      </w:r>
    </w:p>
    <w:p w:rsidR="009E0F63" w:rsidRDefault="009E0F63" w:rsidP="009E0F63">
      <w:pPr>
        <w:pStyle w:val="Default"/>
        <w:rPr>
          <w:rFonts w:ascii="Verdana" w:hAnsi="Verdana" w:cs="Verdana"/>
          <w:sz w:val="22"/>
          <w:szCs w:val="22"/>
        </w:rPr>
      </w:pPr>
    </w:p>
    <w:p w:rsidR="009E0F63" w:rsidRDefault="009E0F63" w:rsidP="009E0F63">
      <w:pPr>
        <w:pStyle w:val="Default"/>
        <w:rPr>
          <w:rFonts w:ascii="Verdana" w:hAnsi="Verdana" w:cs="Verdana"/>
          <w:sz w:val="22"/>
          <w:szCs w:val="22"/>
        </w:rPr>
      </w:pPr>
    </w:p>
    <w:p w:rsidR="009E0F63" w:rsidRDefault="009E0F63">
      <w:pPr>
        <w:spacing w:after="200" w:line="276" w:lineRule="auto"/>
        <w:rPr>
          <w:rFonts w:ascii="Verdana" w:hAnsi="Verdana" w:cs="Verdana"/>
          <w:b/>
          <w:i/>
          <w:sz w:val="22"/>
          <w:szCs w:val="22"/>
        </w:rPr>
      </w:pPr>
    </w:p>
    <w:p w:rsidR="009E0F63" w:rsidRDefault="009E0F63" w:rsidP="009E0F63">
      <w:pPr>
        <w:rPr>
          <w:b/>
        </w:rPr>
        <w:sectPr w:rsidR="009E0F63">
          <w:footerReference w:type="default" r:id="rId12"/>
          <w:type w:val="continuous"/>
          <w:pgSz w:w="12240" w:h="15840"/>
          <w:pgMar w:top="720" w:right="1440" w:bottom="1440" w:left="1440" w:header="720" w:footer="720" w:gutter="0"/>
          <w:pgNumType w:start="1"/>
          <w:cols w:space="720"/>
          <w:noEndnote/>
          <w:titlePg/>
          <w:docGrid w:linePitch="360"/>
        </w:sectPr>
      </w:pPr>
    </w:p>
    <w:p w:rsidR="00ED65FE" w:rsidRPr="00FB21D8" w:rsidRDefault="00ED65FE" w:rsidP="00ED65FE">
      <w:pPr>
        <w:rPr>
          <w:b/>
        </w:rPr>
      </w:pPr>
      <w:r w:rsidRPr="00FB21D8">
        <w:rPr>
          <w:b/>
        </w:rPr>
        <w:lastRenderedPageBreak/>
        <w:t xml:space="preserve">Community Health and Safety nomination: </w:t>
      </w:r>
      <w:proofErr w:type="spellStart"/>
      <w:r w:rsidRPr="00A90C68">
        <w:rPr>
          <w:b/>
          <w:i/>
        </w:rPr>
        <w:t>HomeSafe</w:t>
      </w:r>
      <w:proofErr w:type="spellEnd"/>
      <w:r w:rsidRPr="00FB21D8">
        <w:rPr>
          <w:b/>
        </w:rPr>
        <w:t xml:space="preserve"> Program</w:t>
      </w:r>
    </w:p>
    <w:p w:rsidR="00ED65FE" w:rsidRPr="00FB21D8" w:rsidRDefault="00ED65FE" w:rsidP="00ED65FE">
      <w:pPr>
        <w:pStyle w:val="Default"/>
        <w:rPr>
          <w:rFonts w:ascii="Times New Roman" w:hAnsi="Times New Roman" w:cs="Verdana"/>
          <w:b/>
          <w:szCs w:val="22"/>
        </w:rPr>
      </w:pPr>
      <w:r w:rsidRPr="00FB21D8">
        <w:rPr>
          <w:rFonts w:ascii="Times New Roman" w:hAnsi="Times New Roman" w:cs="Verdana"/>
          <w:b/>
          <w:szCs w:val="22"/>
        </w:rPr>
        <w:t xml:space="preserve">City of Surrey, British Columbia, Canada </w:t>
      </w:r>
    </w:p>
    <w:p w:rsidR="00ED65FE" w:rsidRPr="00FB21D8" w:rsidRDefault="00ED65FE">
      <w:pPr>
        <w:rPr>
          <w:b/>
        </w:rPr>
      </w:pPr>
    </w:p>
    <w:p w:rsidR="00A90C68" w:rsidRDefault="00A90C68" w:rsidP="00A90C68">
      <w:pPr>
        <w:spacing w:line="480" w:lineRule="auto"/>
        <w:rPr>
          <w:b/>
          <w:caps/>
        </w:rPr>
      </w:pPr>
      <w:r>
        <w:rPr>
          <w:b/>
          <w:caps/>
        </w:rPr>
        <w:t>OVERVIEW</w:t>
      </w:r>
    </w:p>
    <w:p w:rsidR="00091674" w:rsidRPr="00091674" w:rsidRDefault="00434413" w:rsidP="00091674">
      <w:pPr>
        <w:pStyle w:val="Default"/>
        <w:spacing w:line="480" w:lineRule="auto"/>
        <w:ind w:firstLine="187"/>
        <w:rPr>
          <w:rFonts w:ascii="Times New Roman" w:hAnsi="Times New Roman" w:cs="Verdana"/>
          <w:szCs w:val="22"/>
        </w:rPr>
      </w:pPr>
      <w:r w:rsidRPr="00091674">
        <w:rPr>
          <w:rFonts w:ascii="Times New Roman" w:hAnsi="Times New Roman"/>
        </w:rPr>
        <w:t xml:space="preserve">Launched by Surrey, British Columbia in October 2008, </w:t>
      </w:r>
      <w:proofErr w:type="spellStart"/>
      <w:r w:rsidRPr="00091674">
        <w:rPr>
          <w:rFonts w:ascii="Times New Roman" w:hAnsi="Times New Roman"/>
          <w:i/>
        </w:rPr>
        <w:t>HomeSafe</w:t>
      </w:r>
      <w:proofErr w:type="spellEnd"/>
      <w:r w:rsidRPr="00091674">
        <w:rPr>
          <w:rFonts w:ascii="Times New Roman" w:hAnsi="Times New Roman"/>
        </w:rPr>
        <w:t xml:space="preserve"> </w:t>
      </w:r>
      <w:r w:rsidR="00091674" w:rsidRPr="00091674">
        <w:rPr>
          <w:rFonts w:ascii="Times New Roman" w:hAnsi="Times New Roman"/>
        </w:rPr>
        <w:t xml:space="preserve">is a proactive, evidence-based fire prevention program that </w:t>
      </w:r>
      <w:r w:rsidRPr="00091674">
        <w:rPr>
          <w:rFonts w:ascii="Times New Roman" w:hAnsi="Times New Roman"/>
        </w:rPr>
        <w:t xml:space="preserve">uses local fire and demographic data to target fire hotspots in the community </w:t>
      </w:r>
      <w:r w:rsidR="00091674" w:rsidRPr="00091674">
        <w:rPr>
          <w:rFonts w:ascii="Times New Roman" w:hAnsi="Times New Roman"/>
        </w:rPr>
        <w:t>for</w:t>
      </w:r>
      <w:r w:rsidRPr="00091674">
        <w:rPr>
          <w:rFonts w:ascii="Times New Roman" w:hAnsi="Times New Roman"/>
        </w:rPr>
        <w:t xml:space="preserve"> door-to-door firefighter visits and smoke alarm giveaways. </w:t>
      </w:r>
      <w:r w:rsidR="007A7699">
        <w:rPr>
          <w:rFonts w:ascii="Times New Roman" w:hAnsi="Times New Roman"/>
        </w:rPr>
        <w:t>The program is contributing to reduced fire losses</w:t>
      </w:r>
      <w:r w:rsidR="00A227EE">
        <w:rPr>
          <w:rFonts w:ascii="Times New Roman" w:hAnsi="Times New Roman"/>
        </w:rPr>
        <w:t>, deaths</w:t>
      </w:r>
      <w:r w:rsidR="007A7699">
        <w:rPr>
          <w:rFonts w:ascii="Times New Roman" w:hAnsi="Times New Roman"/>
        </w:rPr>
        <w:t xml:space="preserve"> and injuries in Surrey</w:t>
      </w:r>
      <w:r w:rsidR="00A227EE">
        <w:rPr>
          <w:rFonts w:ascii="Times New Roman" w:hAnsi="Times New Roman"/>
        </w:rPr>
        <w:t xml:space="preserve">. </w:t>
      </w:r>
      <w:r w:rsidRPr="00091674">
        <w:rPr>
          <w:rFonts w:ascii="Times New Roman" w:hAnsi="Times New Roman"/>
        </w:rPr>
        <w:t xml:space="preserve">Formal evaluation showed </w:t>
      </w:r>
      <w:r w:rsidR="00A227EE">
        <w:rPr>
          <w:rFonts w:ascii="Times New Roman" w:hAnsi="Times New Roman"/>
        </w:rPr>
        <w:t xml:space="preserve">that in its first two years alone, </w:t>
      </w:r>
      <w:proofErr w:type="spellStart"/>
      <w:r w:rsidRPr="00091674">
        <w:rPr>
          <w:rFonts w:ascii="Times New Roman" w:hAnsi="Times New Roman"/>
          <w:i/>
        </w:rPr>
        <w:t>HomeSafe</w:t>
      </w:r>
      <w:proofErr w:type="spellEnd"/>
      <w:r w:rsidRPr="00091674">
        <w:rPr>
          <w:rFonts w:ascii="Times New Roman" w:hAnsi="Times New Roman"/>
        </w:rPr>
        <w:t xml:space="preserve"> reduced the annual fire rate in </w:t>
      </w:r>
      <w:r w:rsidR="00091674" w:rsidRPr="00091674">
        <w:rPr>
          <w:rFonts w:ascii="Times New Roman" w:hAnsi="Times New Roman"/>
        </w:rPr>
        <w:t>Surrey’s</w:t>
      </w:r>
      <w:r w:rsidRPr="00091674">
        <w:rPr>
          <w:rFonts w:ascii="Times New Roman" w:hAnsi="Times New Roman"/>
        </w:rPr>
        <w:t xml:space="preserve"> highest risk homes by 64% and prevented an estimated $1.26 million in fire losses. </w:t>
      </w:r>
      <w:proofErr w:type="spellStart"/>
      <w:r w:rsidR="00091674" w:rsidRPr="00091674">
        <w:rPr>
          <w:rFonts w:ascii="Times New Roman" w:hAnsi="Times New Roman"/>
          <w:i/>
        </w:rPr>
        <w:t>HomeSafe</w:t>
      </w:r>
      <w:proofErr w:type="spellEnd"/>
      <w:r w:rsidR="00091674">
        <w:rPr>
          <w:rFonts w:ascii="Times New Roman" w:hAnsi="Times New Roman"/>
          <w:i/>
        </w:rPr>
        <w:t xml:space="preserve"> </w:t>
      </w:r>
      <w:r w:rsidRPr="00091674">
        <w:rPr>
          <w:rFonts w:ascii="Times New Roman" w:hAnsi="Times New Roman"/>
        </w:rPr>
        <w:t xml:space="preserve">also increased smoke alarm activations and reduced fire size and spread. </w:t>
      </w:r>
      <w:r w:rsidR="00091674" w:rsidRPr="00091674">
        <w:rPr>
          <w:rFonts w:ascii="Times New Roman" w:hAnsi="Times New Roman" w:cs="Verdana"/>
          <w:szCs w:val="22"/>
        </w:rPr>
        <w:t xml:space="preserve">No equivalent program, based on this process or evaluated in </w:t>
      </w:r>
      <w:r w:rsidR="00091674">
        <w:rPr>
          <w:rFonts w:ascii="Times New Roman" w:hAnsi="Times New Roman" w:cs="Verdana"/>
          <w:szCs w:val="22"/>
        </w:rPr>
        <w:t>the same</w:t>
      </w:r>
      <w:r w:rsidR="00091674" w:rsidRPr="00091674">
        <w:rPr>
          <w:rFonts w:ascii="Times New Roman" w:hAnsi="Times New Roman" w:cs="Verdana"/>
          <w:szCs w:val="22"/>
        </w:rPr>
        <w:t xml:space="preserve"> manner, exists anywhere else in North America.</w:t>
      </w:r>
    </w:p>
    <w:p w:rsidR="00434413" w:rsidRPr="00FB21D8" w:rsidRDefault="00D164CB" w:rsidP="009529F5">
      <w:pPr>
        <w:spacing w:line="480" w:lineRule="auto"/>
        <w:rPr>
          <w:b/>
          <w:caps/>
        </w:rPr>
      </w:pPr>
      <w:r w:rsidRPr="00FB21D8">
        <w:rPr>
          <w:b/>
          <w:caps/>
        </w:rPr>
        <w:t>Challenge and Need</w:t>
      </w:r>
    </w:p>
    <w:p w:rsidR="00434413" w:rsidRPr="00FB21D8" w:rsidRDefault="00792B03" w:rsidP="009529F5">
      <w:pPr>
        <w:spacing w:line="480" w:lineRule="auto"/>
        <w:ind w:firstLine="187"/>
      </w:pPr>
      <w:r w:rsidRPr="00FB21D8">
        <w:t xml:space="preserve">Research </w:t>
      </w:r>
      <w:r w:rsidR="001B7C37" w:rsidRPr="00FB21D8">
        <w:t xml:space="preserve">of nearly 5,000 structure fires in Surrey over a </w:t>
      </w:r>
      <w:r w:rsidR="006141F4">
        <w:t>2</w:t>
      </w:r>
      <w:r w:rsidR="006141F4" w:rsidRPr="00FB21D8">
        <w:t>0</w:t>
      </w:r>
      <w:r w:rsidR="001B7C37" w:rsidRPr="00FB21D8">
        <w:t xml:space="preserve">-year period demonstrated that </w:t>
      </w:r>
      <w:r w:rsidR="002945F4" w:rsidRPr="00FB21D8">
        <w:t xml:space="preserve">certain people, properties and </w:t>
      </w:r>
      <w:proofErr w:type="spellStart"/>
      <w:r w:rsidR="002945F4" w:rsidRPr="00FB21D8">
        <w:t>neighbourhoods</w:t>
      </w:r>
      <w:proofErr w:type="spellEnd"/>
      <w:r w:rsidR="002945F4" w:rsidRPr="00FB21D8">
        <w:t xml:space="preserve"> have a </w:t>
      </w:r>
      <w:r w:rsidR="00A90C68">
        <w:t>greater</w:t>
      </w:r>
      <w:r w:rsidR="002945F4" w:rsidRPr="00FB21D8">
        <w:t xml:space="preserve"> fire risk than others</w:t>
      </w:r>
      <w:r w:rsidR="00FD1DF3">
        <w:t>.</w:t>
      </w:r>
      <w:r w:rsidR="001B7C37" w:rsidRPr="00FB21D8">
        <w:t xml:space="preserve"> Conducted by the University of the Fraser Valley in B.C., the research</w:t>
      </w:r>
      <w:r w:rsidR="00434413" w:rsidRPr="00FB21D8">
        <w:t xml:space="preserve"> revealed the following tren</w:t>
      </w:r>
      <w:r w:rsidR="001B7C37" w:rsidRPr="00FB21D8">
        <w:t>ds:</w:t>
      </w:r>
    </w:p>
    <w:p w:rsidR="00434413" w:rsidRPr="00FB21D8" w:rsidRDefault="00434413" w:rsidP="009529F5">
      <w:pPr>
        <w:pStyle w:val="ListParagraph"/>
        <w:numPr>
          <w:ilvl w:val="0"/>
          <w:numId w:val="25"/>
        </w:numPr>
        <w:spacing w:line="480" w:lineRule="auto"/>
      </w:pPr>
      <w:r w:rsidRPr="00FB21D8">
        <w:t>Over 75% of Surrey’s structure fires involved residential properties.</w:t>
      </w:r>
    </w:p>
    <w:p w:rsidR="00434413" w:rsidRPr="00FB21D8" w:rsidRDefault="00434413" w:rsidP="009529F5">
      <w:pPr>
        <w:pStyle w:val="ListParagraph"/>
        <w:numPr>
          <w:ilvl w:val="0"/>
          <w:numId w:val="25"/>
        </w:numPr>
        <w:spacing w:line="480" w:lineRule="auto"/>
      </w:pPr>
      <w:r w:rsidRPr="00FB21D8">
        <w:t>Fire incidence was not random. For example, it increased when occupants smoked, were elderly, had a disability or had mental health or substance use issues.</w:t>
      </w:r>
    </w:p>
    <w:p w:rsidR="00792B03" w:rsidRPr="00FB21D8" w:rsidRDefault="00434413" w:rsidP="009529F5">
      <w:pPr>
        <w:pStyle w:val="ListParagraph"/>
        <w:numPr>
          <w:ilvl w:val="0"/>
          <w:numId w:val="25"/>
        </w:numPr>
        <w:spacing w:line="480" w:lineRule="auto"/>
      </w:pPr>
      <w:r w:rsidRPr="00FB21D8">
        <w:t>Residential structure fires tended to be clustered geographically, based on dwelling use, sources of ignition (e.g., cooking, open flames), and the presence of functioning smoke alarms.</w:t>
      </w:r>
    </w:p>
    <w:p w:rsidR="00792B03" w:rsidRPr="00FB21D8" w:rsidRDefault="00D07CBB" w:rsidP="009529F5">
      <w:pPr>
        <w:spacing w:line="480" w:lineRule="auto"/>
        <w:ind w:firstLine="187"/>
      </w:pPr>
      <w:r w:rsidRPr="00FB21D8">
        <w:t>Research into i</w:t>
      </w:r>
      <w:r w:rsidR="00792B03" w:rsidRPr="00FB21D8">
        <w:t>nternational fire education best practices</w:t>
      </w:r>
      <w:r w:rsidR="002945F4" w:rsidRPr="00FB21D8">
        <w:t xml:space="preserve"> </w:t>
      </w:r>
      <w:r w:rsidR="00FD1DF3">
        <w:t>pointed</w:t>
      </w:r>
      <w:r w:rsidR="00792B03" w:rsidRPr="00FB21D8">
        <w:t xml:space="preserve"> </w:t>
      </w:r>
      <w:r w:rsidR="002945F4" w:rsidRPr="00FB21D8">
        <w:t>Surrey</w:t>
      </w:r>
      <w:r w:rsidR="00792B03" w:rsidRPr="00FB21D8">
        <w:t xml:space="preserve"> to</w:t>
      </w:r>
      <w:r w:rsidR="00FD1DF3">
        <w:t>wards</w:t>
      </w:r>
      <w:r w:rsidR="00792B03" w:rsidRPr="00FB21D8">
        <w:t xml:space="preserve"> develop</w:t>
      </w:r>
      <w:r w:rsidR="00FD1DF3">
        <w:t>ing</w:t>
      </w:r>
      <w:r w:rsidR="00792B03" w:rsidRPr="00FB21D8">
        <w:t xml:space="preserve"> </w:t>
      </w:r>
      <w:r w:rsidRPr="00FB21D8">
        <w:t>a</w:t>
      </w:r>
      <w:r w:rsidR="002945F4" w:rsidRPr="00FB21D8">
        <w:t xml:space="preserve"> custom </w:t>
      </w:r>
      <w:r w:rsidRPr="00FB21D8">
        <w:t xml:space="preserve">home </w:t>
      </w:r>
      <w:r w:rsidR="002945F4" w:rsidRPr="00FB21D8">
        <w:t>visitation program</w:t>
      </w:r>
      <w:r w:rsidR="00792B03" w:rsidRPr="00FB21D8">
        <w:t xml:space="preserve"> to address these trends.</w:t>
      </w:r>
      <w:r w:rsidR="009E37CF">
        <w:t xml:space="preserve"> </w:t>
      </w:r>
      <w:r w:rsidR="00792B03" w:rsidRPr="00FB21D8">
        <w:t xml:space="preserve">Since the 1990s, international research has shown that public education programs are an effective way to reduce residential fires. For example, </w:t>
      </w:r>
      <w:r w:rsidR="00792B03" w:rsidRPr="00FB21D8">
        <w:rPr>
          <w:i/>
        </w:rPr>
        <w:t>Proving Fire Education Works</w:t>
      </w:r>
      <w:r w:rsidR="00792B03" w:rsidRPr="00FB21D8">
        <w:t xml:space="preserve">, written by Philip </w:t>
      </w:r>
      <w:proofErr w:type="spellStart"/>
      <w:r w:rsidR="00792B03" w:rsidRPr="00FB21D8">
        <w:t>Schaenman</w:t>
      </w:r>
      <w:proofErr w:type="spellEnd"/>
      <w:r w:rsidR="00792B03" w:rsidRPr="00FB21D8">
        <w:t xml:space="preserve">, Charles Jennings and </w:t>
      </w:r>
      <w:r w:rsidR="00792B03" w:rsidRPr="00FB21D8">
        <w:lastRenderedPageBreak/>
        <w:t xml:space="preserve">colleagues for the </w:t>
      </w:r>
      <w:proofErr w:type="spellStart"/>
      <w:r w:rsidR="00792B03" w:rsidRPr="00FB21D8">
        <w:t>TriData</w:t>
      </w:r>
      <w:proofErr w:type="spellEnd"/>
      <w:r w:rsidR="00792B03" w:rsidRPr="00FB21D8">
        <w:t xml:space="preserve"> Corporation in 1990, highlighted the positive impact of 77 public education strategies including school-based programs, community-wide programs, programs targeting a specific cause of fire or audience, juvenile </w:t>
      </w:r>
      <w:proofErr w:type="spellStart"/>
      <w:r w:rsidR="00792B03" w:rsidRPr="00FB21D8">
        <w:t>firesetter</w:t>
      </w:r>
      <w:proofErr w:type="spellEnd"/>
      <w:r w:rsidR="00792B03" w:rsidRPr="00FB21D8">
        <w:t xml:space="preserve"> programs, smoke detector programs, and national strategies. All 77 initiatives demonstrated positive impact in some form. </w:t>
      </w:r>
    </w:p>
    <w:p w:rsidR="00792B03" w:rsidRPr="00FB21D8" w:rsidRDefault="00792B03" w:rsidP="002B2F3A">
      <w:pPr>
        <w:spacing w:line="480" w:lineRule="auto"/>
        <w:ind w:firstLine="187"/>
      </w:pPr>
      <w:r w:rsidRPr="00FB21D8">
        <w:t xml:space="preserve">More recent research points to home visitation programs as being particularly effective when delivering fire education. A </w:t>
      </w:r>
      <w:r w:rsidR="002B2F3A">
        <w:t xml:space="preserve">2009 </w:t>
      </w:r>
      <w:proofErr w:type="spellStart"/>
      <w:r w:rsidRPr="00FB21D8">
        <w:t>TriData</w:t>
      </w:r>
      <w:proofErr w:type="spellEnd"/>
      <w:r w:rsidRPr="00FB21D8">
        <w:t xml:space="preserve"> </w:t>
      </w:r>
      <w:r w:rsidR="002B2F3A">
        <w:t>study</w:t>
      </w:r>
      <w:r w:rsidRPr="00FB21D8">
        <w:t xml:space="preserve"> highlighted the impact of home visitation programs in the United Kingdom that targeted fire safety inspections and risk reduction, and emphasized the importance of working smoke alarms. </w:t>
      </w:r>
      <w:r w:rsidR="002B2F3A">
        <w:t>S</w:t>
      </w:r>
      <w:r w:rsidRPr="00FB21D8">
        <w:t xml:space="preserve">imilar </w:t>
      </w:r>
      <w:r w:rsidR="0081572D">
        <w:t xml:space="preserve">home visitation </w:t>
      </w:r>
      <w:r w:rsidRPr="00FB21D8">
        <w:t xml:space="preserve">initiatives </w:t>
      </w:r>
      <w:r w:rsidR="0081572D">
        <w:t>in</w:t>
      </w:r>
      <w:r w:rsidRPr="00FB21D8">
        <w:t xml:space="preserve"> Canada</w:t>
      </w:r>
      <w:r w:rsidR="0081572D">
        <w:t xml:space="preserve"> have</w:t>
      </w:r>
      <w:r w:rsidR="00FB21D8">
        <w:t xml:space="preserve"> focus</w:t>
      </w:r>
      <w:r w:rsidR="0081572D">
        <w:t>ed</w:t>
      </w:r>
      <w:r w:rsidRPr="00FB21D8">
        <w:t xml:space="preserve"> on issues including the presence </w:t>
      </w:r>
      <w:r w:rsidR="00FB21D8">
        <w:t>of working</w:t>
      </w:r>
      <w:r w:rsidRPr="00FB21D8">
        <w:t xml:space="preserve"> smoke alarms, development of fire escape plans, and public education on common causes of preventable house fires</w:t>
      </w:r>
      <w:r w:rsidR="00FB21D8">
        <w:t xml:space="preserve">. The </w:t>
      </w:r>
      <w:r w:rsidRPr="00FB21D8">
        <w:t xml:space="preserve">typical result </w:t>
      </w:r>
      <w:r w:rsidR="00091674">
        <w:t>is</w:t>
      </w:r>
      <w:r w:rsidRPr="00FB21D8">
        <w:t xml:space="preserve"> reduced </w:t>
      </w:r>
      <w:r w:rsidR="00FB21D8">
        <w:t xml:space="preserve">fire </w:t>
      </w:r>
      <w:r w:rsidRPr="00FB21D8">
        <w:t xml:space="preserve">rates and increased presence of working smoke alarms. </w:t>
      </w:r>
    </w:p>
    <w:p w:rsidR="00FD1DF3" w:rsidRDefault="00346B6B" w:rsidP="009529F5">
      <w:pPr>
        <w:spacing w:line="480" w:lineRule="auto"/>
        <w:ind w:firstLine="187"/>
      </w:pPr>
      <w:r w:rsidRPr="00346B6B">
        <w:t>Building on the</w:t>
      </w:r>
      <w:r>
        <w:t>se</w:t>
      </w:r>
      <w:r w:rsidRPr="00346B6B">
        <w:t xml:space="preserve"> lessons, Surrey </w:t>
      </w:r>
      <w:r>
        <w:t xml:space="preserve">focused its </w:t>
      </w:r>
      <w:proofErr w:type="spellStart"/>
      <w:r w:rsidRPr="00A90C68">
        <w:rPr>
          <w:i/>
        </w:rPr>
        <w:t>HomeSafe</w:t>
      </w:r>
      <w:proofErr w:type="spellEnd"/>
      <w:r>
        <w:t xml:space="preserve"> program on</w:t>
      </w:r>
      <w:r w:rsidR="00D07CBB" w:rsidRPr="00FB21D8">
        <w:t xml:space="preserve"> </w:t>
      </w:r>
      <w:r>
        <w:t xml:space="preserve">reducing the frequency and severity of </w:t>
      </w:r>
      <w:r w:rsidR="00D07CBB" w:rsidRPr="00FB21D8">
        <w:t xml:space="preserve">residential fires in </w:t>
      </w:r>
      <w:proofErr w:type="spellStart"/>
      <w:r w:rsidR="00D07CBB" w:rsidRPr="00FB21D8">
        <w:t>neighbourhoods</w:t>
      </w:r>
      <w:proofErr w:type="spellEnd"/>
      <w:r w:rsidR="00D07CBB" w:rsidRPr="00FB21D8">
        <w:t xml:space="preserve"> that posed the greatest risk</w:t>
      </w:r>
      <w:r>
        <w:t xml:space="preserve">. </w:t>
      </w:r>
    </w:p>
    <w:p w:rsidR="00ED65FE" w:rsidRPr="0081572D" w:rsidRDefault="00ED65FE" w:rsidP="009529F5">
      <w:pPr>
        <w:spacing w:line="480" w:lineRule="auto"/>
        <w:rPr>
          <w:b/>
          <w:caps/>
        </w:rPr>
      </w:pPr>
      <w:r w:rsidRPr="0081572D">
        <w:rPr>
          <w:b/>
          <w:caps/>
        </w:rPr>
        <w:t>Program Implementation and Costs</w:t>
      </w:r>
    </w:p>
    <w:p w:rsidR="00FD1DF3" w:rsidRPr="00FB21D8" w:rsidRDefault="00FD1DF3" w:rsidP="00FD1DF3">
      <w:pPr>
        <w:spacing w:line="480" w:lineRule="auto"/>
        <w:ind w:firstLine="187"/>
      </w:pPr>
      <w:proofErr w:type="spellStart"/>
      <w:r>
        <w:t>Neighbourhoods</w:t>
      </w:r>
      <w:proofErr w:type="spellEnd"/>
      <w:r>
        <w:t xml:space="preserve"> with the greatest fire risk </w:t>
      </w:r>
      <w:r w:rsidR="00A90C68">
        <w:t>were</w:t>
      </w:r>
      <w:r>
        <w:t xml:space="preserve"> identified from t</w:t>
      </w:r>
      <w:r w:rsidRPr="00FB21D8">
        <w:t xml:space="preserve">he distribution of recent fires across </w:t>
      </w:r>
      <w:r w:rsidR="00091674">
        <w:t>Surrey</w:t>
      </w:r>
      <w:r w:rsidRPr="00FB21D8">
        <w:t xml:space="preserve">, combined with concentrations of high-risk residents (as a consequence of factors such as age, family structure, and lifestyle, as determined based on Census data). </w:t>
      </w:r>
    </w:p>
    <w:p w:rsidR="00FD1DF3" w:rsidRPr="00FB21D8" w:rsidRDefault="002B2F3A" w:rsidP="00FD1DF3">
      <w:pPr>
        <w:spacing w:line="480" w:lineRule="auto"/>
        <w:ind w:firstLine="187"/>
      </w:pPr>
      <w:r>
        <w:t>E</w:t>
      </w:r>
      <w:r w:rsidR="00FD1DF3" w:rsidRPr="00FB21D8">
        <w:t xml:space="preserve">ach of Surrey’s 17 fire halls received an equal number of information packages to distribute and a list of addresses to target. Scheduled </w:t>
      </w:r>
      <w:r w:rsidR="00F55969">
        <w:t xml:space="preserve">firefighter </w:t>
      </w:r>
      <w:r w:rsidR="00FD1DF3" w:rsidRPr="00FB21D8">
        <w:t xml:space="preserve">training was suspended for a two-week period, during which crews delivered an average of 2,620 information packages. </w:t>
      </w:r>
    </w:p>
    <w:p w:rsidR="00FD1DF3" w:rsidRPr="00FB21D8" w:rsidRDefault="003807BC" w:rsidP="00FD1DF3">
      <w:pPr>
        <w:spacing w:line="480" w:lineRule="auto"/>
        <w:ind w:firstLine="187"/>
      </w:pPr>
      <w:r>
        <w:t>U</w:t>
      </w:r>
      <w:r w:rsidRPr="00FB21D8">
        <w:t>niformed</w:t>
      </w:r>
      <w:r w:rsidRPr="00FB21D8">
        <w:rPr>
          <w:i/>
        </w:rPr>
        <w:t xml:space="preserve"> </w:t>
      </w:r>
      <w:r w:rsidRPr="00FB21D8">
        <w:t xml:space="preserve">firefighters went door-to-door to </w:t>
      </w:r>
      <w:r w:rsidR="00FD1DF3" w:rsidRPr="00FB21D8">
        <w:t>educate residents about fire safety, provide an information package</w:t>
      </w:r>
      <w:r w:rsidR="00091674">
        <w:t>,</w:t>
      </w:r>
      <w:r w:rsidR="00FD1DF3" w:rsidRPr="00FB21D8">
        <w:t xml:space="preserve"> and offer to install a free smoke alarm on the spot (a signed waiver is required). The information package cover</w:t>
      </w:r>
      <w:r w:rsidR="00091674">
        <w:t>ed</w:t>
      </w:r>
      <w:r w:rsidR="00FD1DF3" w:rsidRPr="00FB21D8">
        <w:t xml:space="preserve"> a range of prevention topics, including:</w:t>
      </w:r>
    </w:p>
    <w:p w:rsidR="00FD1DF3" w:rsidRPr="00FB21D8" w:rsidRDefault="00FD1DF3" w:rsidP="00FD1DF3">
      <w:pPr>
        <w:numPr>
          <w:ilvl w:val="0"/>
          <w:numId w:val="26"/>
        </w:numPr>
        <w:spacing w:line="480" w:lineRule="auto"/>
      </w:pPr>
      <w:r w:rsidRPr="00FB21D8">
        <w:t>Smoke alarms – purpose, types, locations, strategies and maintenance;</w:t>
      </w:r>
    </w:p>
    <w:p w:rsidR="00FD1DF3" w:rsidRPr="00FB21D8" w:rsidRDefault="00FD1DF3" w:rsidP="00FD1DF3">
      <w:pPr>
        <w:numPr>
          <w:ilvl w:val="0"/>
          <w:numId w:val="26"/>
        </w:numPr>
        <w:spacing w:line="480" w:lineRule="auto"/>
      </w:pPr>
      <w:r w:rsidRPr="00FB21D8">
        <w:lastRenderedPageBreak/>
        <w:t>Home fire escape plans – need and purpose, the realities of fire, what to do in case of fire, individuals and locations with the greatest fire risks;</w:t>
      </w:r>
    </w:p>
    <w:p w:rsidR="00FD1DF3" w:rsidRPr="00FB21D8" w:rsidRDefault="00FD1DF3" w:rsidP="00FD1DF3">
      <w:pPr>
        <w:numPr>
          <w:ilvl w:val="0"/>
          <w:numId w:val="26"/>
        </w:numPr>
        <w:spacing w:line="480" w:lineRule="auto"/>
      </w:pPr>
      <w:r w:rsidRPr="00FB21D8">
        <w:t>Children and fire – curiosity about fire, parenting strategies, safe use of fire;</w:t>
      </w:r>
    </w:p>
    <w:p w:rsidR="00FD1DF3" w:rsidRPr="00FB21D8" w:rsidRDefault="00FD1DF3" w:rsidP="00FD1DF3">
      <w:pPr>
        <w:numPr>
          <w:ilvl w:val="0"/>
          <w:numId w:val="26"/>
        </w:numPr>
        <w:spacing w:line="480" w:lineRule="auto"/>
      </w:pPr>
      <w:r w:rsidRPr="00FB21D8">
        <w:t>Senior fire safety – survival and prevention strategies, home fire escape plans; and</w:t>
      </w:r>
    </w:p>
    <w:p w:rsidR="00FD1DF3" w:rsidRPr="00FB21D8" w:rsidRDefault="00FD1DF3" w:rsidP="00FD1DF3">
      <w:pPr>
        <w:numPr>
          <w:ilvl w:val="0"/>
          <w:numId w:val="26"/>
        </w:numPr>
        <w:spacing w:line="480" w:lineRule="auto"/>
      </w:pPr>
      <w:r w:rsidRPr="00FB21D8">
        <w:t>Kitchen fire safety – prevention strategies, what to do in case of a kitchen fire, ignition sources, how to respond to burns and burning clothing, and children in the kitchen.</w:t>
      </w:r>
    </w:p>
    <w:p w:rsidR="00FD1DF3" w:rsidRPr="00FB21D8" w:rsidRDefault="00FD1DF3" w:rsidP="00FD1DF3">
      <w:pPr>
        <w:spacing w:line="480" w:lineRule="auto"/>
        <w:ind w:firstLine="187"/>
        <w:rPr>
          <w:b/>
        </w:rPr>
      </w:pPr>
      <w:r w:rsidRPr="00FB21D8">
        <w:t xml:space="preserve">A letter from the Surrey Fire Chief, included with the package, outlined the purpose of the initiative and reinforced the offer of a free home safety inspection and smoke alarm installation. </w:t>
      </w:r>
      <w:r w:rsidR="00A90C68" w:rsidRPr="00FB21D8">
        <w:rPr>
          <w:rFonts w:cs="Verdana"/>
          <w:szCs w:val="22"/>
        </w:rPr>
        <w:t xml:space="preserve">If residents </w:t>
      </w:r>
      <w:r w:rsidR="00A90C68">
        <w:rPr>
          <w:rFonts w:cs="Verdana"/>
          <w:szCs w:val="22"/>
        </w:rPr>
        <w:t>were</w:t>
      </w:r>
      <w:r w:rsidR="00A90C68" w:rsidRPr="00FB21D8">
        <w:rPr>
          <w:rFonts w:cs="Verdana"/>
          <w:szCs w:val="22"/>
        </w:rPr>
        <w:t xml:space="preserve"> not home, </w:t>
      </w:r>
      <w:r w:rsidR="00A90C68">
        <w:rPr>
          <w:rFonts w:cs="Verdana"/>
          <w:szCs w:val="22"/>
        </w:rPr>
        <w:t>the package was left on their doorknob</w:t>
      </w:r>
      <w:r w:rsidR="00A90C68" w:rsidRPr="00FB21D8">
        <w:rPr>
          <w:rFonts w:cs="Verdana"/>
          <w:szCs w:val="22"/>
        </w:rPr>
        <w:t xml:space="preserve">. </w:t>
      </w:r>
    </w:p>
    <w:p w:rsidR="00143C3C" w:rsidRPr="00FB21D8" w:rsidRDefault="00143C3C" w:rsidP="009529F5">
      <w:pPr>
        <w:pStyle w:val="Default"/>
        <w:spacing w:line="480" w:lineRule="auto"/>
        <w:ind w:firstLine="187"/>
        <w:rPr>
          <w:rFonts w:ascii="Times New Roman" w:hAnsi="Times New Roman" w:cs="Verdana"/>
          <w:szCs w:val="22"/>
        </w:rPr>
      </w:pPr>
      <w:r w:rsidRPr="00FB21D8">
        <w:rPr>
          <w:rFonts w:ascii="Times New Roman" w:hAnsi="Times New Roman" w:cs="Verdana"/>
          <w:szCs w:val="22"/>
        </w:rPr>
        <w:t xml:space="preserve">More than </w:t>
      </w:r>
      <w:r w:rsidR="006141F4">
        <w:rPr>
          <w:rFonts w:ascii="Times New Roman" w:hAnsi="Times New Roman" w:cs="Verdana"/>
          <w:szCs w:val="22"/>
        </w:rPr>
        <w:t>37,500</w:t>
      </w:r>
      <w:r w:rsidRPr="00FB21D8">
        <w:rPr>
          <w:rFonts w:ascii="Times New Roman" w:hAnsi="Times New Roman" w:cs="Verdana"/>
          <w:szCs w:val="22"/>
        </w:rPr>
        <w:t xml:space="preserve"> homes ha</w:t>
      </w:r>
      <w:r w:rsidR="00091674">
        <w:rPr>
          <w:rFonts w:ascii="Times New Roman" w:hAnsi="Times New Roman" w:cs="Verdana"/>
          <w:szCs w:val="22"/>
        </w:rPr>
        <w:t>d</w:t>
      </w:r>
      <w:r w:rsidRPr="00FB21D8">
        <w:rPr>
          <w:rFonts w:ascii="Times New Roman" w:hAnsi="Times New Roman" w:cs="Verdana"/>
          <w:szCs w:val="22"/>
        </w:rPr>
        <w:t xml:space="preserve"> been visited </w:t>
      </w:r>
      <w:r w:rsidR="00091674">
        <w:rPr>
          <w:rFonts w:ascii="Times New Roman" w:hAnsi="Times New Roman" w:cs="Verdana"/>
          <w:szCs w:val="22"/>
        </w:rPr>
        <w:t>as of the end of 2012</w:t>
      </w:r>
      <w:r w:rsidRPr="00FB21D8">
        <w:rPr>
          <w:rFonts w:ascii="Times New Roman" w:hAnsi="Times New Roman" w:cs="Verdana"/>
          <w:szCs w:val="22"/>
        </w:rPr>
        <w:t xml:space="preserve">. </w:t>
      </w:r>
    </w:p>
    <w:p w:rsidR="00091674" w:rsidRPr="00091674" w:rsidRDefault="00091674" w:rsidP="009529F5">
      <w:pPr>
        <w:pStyle w:val="Default"/>
        <w:spacing w:line="480" w:lineRule="auto"/>
        <w:ind w:firstLine="187"/>
        <w:rPr>
          <w:rFonts w:ascii="Times New Roman" w:hAnsi="Times New Roman"/>
        </w:rPr>
      </w:pPr>
      <w:r w:rsidRPr="00091674">
        <w:rPr>
          <w:rFonts w:ascii="Times New Roman" w:hAnsi="Times New Roman"/>
        </w:rPr>
        <w:t>Hard costs have been limited to the development of</w:t>
      </w:r>
      <w:r>
        <w:rPr>
          <w:rFonts w:ascii="Times New Roman" w:hAnsi="Times New Roman"/>
        </w:rPr>
        <w:t xml:space="preserve"> the public education materials</w:t>
      </w:r>
      <w:r w:rsidRPr="00091674">
        <w:rPr>
          <w:rFonts w:ascii="Times New Roman" w:hAnsi="Times New Roman"/>
        </w:rPr>
        <w:t xml:space="preserve">; there are no wage costs because the fire prevention information </w:t>
      </w:r>
      <w:r w:rsidR="000D0CBE">
        <w:rPr>
          <w:rFonts w:ascii="Times New Roman" w:hAnsi="Times New Roman"/>
        </w:rPr>
        <w:t>is delivered by</w:t>
      </w:r>
      <w:r w:rsidRPr="00091674">
        <w:rPr>
          <w:rFonts w:ascii="Times New Roman" w:hAnsi="Times New Roman"/>
        </w:rPr>
        <w:t xml:space="preserve"> on-duty career firefighters, and administrative costs are absorbed by the organization. </w:t>
      </w:r>
    </w:p>
    <w:p w:rsidR="00D164CB" w:rsidRPr="00091674" w:rsidRDefault="00091674" w:rsidP="009529F5">
      <w:pPr>
        <w:pStyle w:val="Default"/>
        <w:spacing w:line="480" w:lineRule="auto"/>
        <w:ind w:firstLine="187"/>
        <w:rPr>
          <w:rFonts w:ascii="Times New Roman" w:hAnsi="Times New Roman"/>
          <w:b/>
        </w:rPr>
      </w:pPr>
      <w:r w:rsidRPr="00091674">
        <w:rPr>
          <w:rFonts w:ascii="Times New Roman" w:hAnsi="Times New Roman"/>
        </w:rPr>
        <w:t xml:space="preserve">After the initial cost of $4,900 for information materials, the program’s total annual cost has ranged from $2.54-$2.96 per home visited. </w:t>
      </w:r>
      <w:r w:rsidR="00143C3C" w:rsidRPr="00091674">
        <w:rPr>
          <w:rFonts w:ascii="Times New Roman" w:hAnsi="Times New Roman"/>
        </w:rPr>
        <w:t xml:space="preserve">Implementation costs for the first two years of the program came to less than $63,000. </w:t>
      </w:r>
      <w:r w:rsidRPr="00091674">
        <w:rPr>
          <w:rFonts w:ascii="Times New Roman" w:hAnsi="Times New Roman"/>
        </w:rPr>
        <w:t xml:space="preserve">Sponsorship from the Surrey Fire Fighters’ Charitable Association and </w:t>
      </w:r>
      <w:r>
        <w:rPr>
          <w:rFonts w:ascii="Times New Roman" w:hAnsi="Times New Roman"/>
        </w:rPr>
        <w:t>a local shopping mall</w:t>
      </w:r>
      <w:r w:rsidRPr="00091674">
        <w:rPr>
          <w:rFonts w:ascii="Times New Roman" w:hAnsi="Times New Roman"/>
        </w:rPr>
        <w:t xml:space="preserve"> has funded the cost of the smoke detectors, and media coverage and free public announcements have been utilized to </w:t>
      </w:r>
      <w:proofErr w:type="spellStart"/>
      <w:r w:rsidRPr="00091674">
        <w:rPr>
          <w:rFonts w:ascii="Times New Roman" w:hAnsi="Times New Roman"/>
        </w:rPr>
        <w:t>advertize</w:t>
      </w:r>
      <w:proofErr w:type="spellEnd"/>
      <w:r w:rsidRPr="00091674">
        <w:rPr>
          <w:rFonts w:ascii="Times New Roman" w:hAnsi="Times New Roman"/>
        </w:rPr>
        <w:t xml:space="preserve"> the program. Further, by reducing fire-response costs, the program has freed up resources to direct to other priorities.</w:t>
      </w:r>
    </w:p>
    <w:p w:rsidR="00553876" w:rsidRPr="0081572D" w:rsidRDefault="00ED65FE" w:rsidP="009529F5">
      <w:pPr>
        <w:spacing w:line="480" w:lineRule="auto"/>
        <w:rPr>
          <w:b/>
          <w:caps/>
        </w:rPr>
      </w:pPr>
      <w:r w:rsidRPr="0081572D">
        <w:rPr>
          <w:b/>
          <w:caps/>
        </w:rPr>
        <w:t>Tangible Results / Measurable Outcomes</w:t>
      </w:r>
    </w:p>
    <w:p w:rsidR="007A7699" w:rsidRPr="007A7699" w:rsidRDefault="007A7699" w:rsidP="009529F5">
      <w:pPr>
        <w:spacing w:line="480" w:lineRule="auto"/>
        <w:ind w:firstLine="187"/>
      </w:pPr>
      <w:r w:rsidRPr="007A7699">
        <w:t xml:space="preserve">In combination with other evidence-based fire prevention programs in Surrey, </w:t>
      </w:r>
      <w:proofErr w:type="spellStart"/>
      <w:r w:rsidRPr="00A227EE">
        <w:rPr>
          <w:i/>
        </w:rPr>
        <w:t>HomeSafe</w:t>
      </w:r>
      <w:proofErr w:type="spellEnd"/>
      <w:r w:rsidRPr="007A7699">
        <w:t xml:space="preserve"> has contributed to:</w:t>
      </w:r>
    </w:p>
    <w:p w:rsidR="007A7699" w:rsidRPr="007A7699" w:rsidRDefault="007A7699" w:rsidP="007A7699">
      <w:pPr>
        <w:pStyle w:val="ListParagraph"/>
        <w:numPr>
          <w:ilvl w:val="0"/>
          <w:numId w:val="32"/>
        </w:numPr>
        <w:spacing w:line="480" w:lineRule="auto"/>
        <w:ind w:left="648"/>
      </w:pPr>
      <w:r>
        <w:t xml:space="preserve">A </w:t>
      </w:r>
      <w:r w:rsidRPr="007A7699">
        <w:t xml:space="preserve">42.3% reduction in the rate of death/injury </w:t>
      </w:r>
      <w:r>
        <w:t>from</w:t>
      </w:r>
      <w:r w:rsidRPr="007A7699">
        <w:t xml:space="preserve"> 2006 to </w:t>
      </w:r>
      <w:r>
        <w:t xml:space="preserve">the </w:t>
      </w:r>
      <w:r w:rsidRPr="007A7699">
        <w:t>end of 2012</w:t>
      </w:r>
      <w:r>
        <w:t xml:space="preserve">, despite a 14.8% </w:t>
      </w:r>
      <w:r w:rsidR="00A227EE">
        <w:t xml:space="preserve">increase in population </w:t>
      </w:r>
      <w:r>
        <w:t>over this period</w:t>
      </w:r>
      <w:r w:rsidRPr="007A7699">
        <w:t>.</w:t>
      </w:r>
    </w:p>
    <w:p w:rsidR="007A7699" w:rsidRPr="00642FEC" w:rsidRDefault="007A7699" w:rsidP="007A7699">
      <w:pPr>
        <w:pStyle w:val="ListParagraph"/>
        <w:numPr>
          <w:ilvl w:val="0"/>
          <w:numId w:val="32"/>
        </w:numPr>
        <w:spacing w:line="480" w:lineRule="auto"/>
        <w:ind w:left="648"/>
      </w:pPr>
      <w:r w:rsidRPr="00642FEC">
        <w:rPr>
          <w:rFonts w:cs="Calibri"/>
          <w:szCs w:val="30"/>
          <w:lang w:eastAsia="en-CA"/>
        </w:rPr>
        <w:lastRenderedPageBreak/>
        <w:t>A 35.5% reduction in the rate of fires per 1,000 dwellings from 2006 and 2012, despite a 15.2% increase in the number of dwellings over this period.</w:t>
      </w:r>
    </w:p>
    <w:p w:rsidR="00553876" w:rsidRPr="00FB21D8" w:rsidRDefault="00553876" w:rsidP="009529F5">
      <w:pPr>
        <w:spacing w:line="480" w:lineRule="auto"/>
        <w:ind w:firstLine="187"/>
      </w:pPr>
      <w:r w:rsidRPr="00FB21D8">
        <w:t xml:space="preserve">A formal evaluation was conducted after </w:t>
      </w:r>
      <w:proofErr w:type="spellStart"/>
      <w:r w:rsidR="007A7699" w:rsidRPr="007A7699">
        <w:rPr>
          <w:i/>
        </w:rPr>
        <w:t>HomeSafe</w:t>
      </w:r>
      <w:proofErr w:type="spellEnd"/>
      <w:r w:rsidRPr="00FB21D8">
        <w:t xml:space="preserve"> had been in effect for two years and had reached 18,473 addresses, representing about 14% of all </w:t>
      </w:r>
      <w:r w:rsidR="007A7699">
        <w:t xml:space="preserve">Surrey </w:t>
      </w:r>
      <w:r w:rsidRPr="00FB21D8">
        <w:t xml:space="preserve">homes </w:t>
      </w:r>
      <w:r w:rsidR="007A7699">
        <w:t>(</w:t>
      </w:r>
      <w:r w:rsidRPr="00FB21D8">
        <w:t xml:space="preserve">excluding apartments). High-risk control groups (composed of addresses scheduled to be visited post-evaluation) were used to evaluate the impact. Based on data from two years prior to the first wave of delivery, the annual rates of fires per 1,000 dwellings in each group were calculated and compared. </w:t>
      </w:r>
    </w:p>
    <w:p w:rsidR="00553876" w:rsidRPr="00FB21D8" w:rsidRDefault="00553876" w:rsidP="009529F5">
      <w:pPr>
        <w:spacing w:line="480" w:lineRule="auto"/>
        <w:ind w:firstLine="187"/>
      </w:pPr>
      <w:r w:rsidRPr="00FB21D8">
        <w:t xml:space="preserve">This process revealed a 64% reduction in the annual rate of fires for </w:t>
      </w:r>
      <w:proofErr w:type="spellStart"/>
      <w:r w:rsidRPr="00FB21D8">
        <w:rPr>
          <w:i/>
        </w:rPr>
        <w:t>HomeSafe</w:t>
      </w:r>
      <w:proofErr w:type="spellEnd"/>
      <w:r w:rsidRPr="00FB21D8">
        <w:t xml:space="preserve"> houses</w:t>
      </w:r>
      <w:r w:rsidR="00091674">
        <w:t xml:space="preserve"> –</w:t>
      </w:r>
      <w:r w:rsidRPr="00FB21D8">
        <w:t xml:space="preserve"> approximately 4.4 times greater than the reduction (15%) observed in the high-risk controls over the same period. This translated to a reduction in the frequency of house fires in the </w:t>
      </w:r>
      <w:proofErr w:type="spellStart"/>
      <w:r w:rsidRPr="00FB21D8">
        <w:rPr>
          <w:i/>
        </w:rPr>
        <w:t>HomeSafe</w:t>
      </w:r>
      <w:proofErr w:type="spellEnd"/>
      <w:r w:rsidRPr="00FB21D8">
        <w:t xml:space="preserve"> areas from once in every 97 days before the intervention to once in every 193 days afterwards. The control groups, in comparison, observed a frequency decrease of only 3.7 days per fire.</w:t>
      </w:r>
    </w:p>
    <w:p w:rsidR="00553876" w:rsidRPr="00FB21D8" w:rsidRDefault="00553876" w:rsidP="009529F5">
      <w:pPr>
        <w:spacing w:line="480" w:lineRule="auto"/>
        <w:ind w:firstLine="187"/>
      </w:pPr>
      <w:r w:rsidRPr="00FB21D8">
        <w:t xml:space="preserve">The results are also encouraging when </w:t>
      </w:r>
      <w:r w:rsidR="007A7699">
        <w:t xml:space="preserve">examining </w:t>
      </w:r>
      <w:r w:rsidRPr="00FB21D8">
        <w:t xml:space="preserve">the 13 fires in </w:t>
      </w:r>
      <w:r w:rsidR="00A90C68">
        <w:t xml:space="preserve">the visited </w:t>
      </w:r>
      <w:r w:rsidRPr="00FB21D8">
        <w:t>houses:</w:t>
      </w:r>
    </w:p>
    <w:p w:rsidR="00553876" w:rsidRPr="00FB21D8" w:rsidRDefault="00553876" w:rsidP="009529F5">
      <w:pPr>
        <w:numPr>
          <w:ilvl w:val="0"/>
          <w:numId w:val="27"/>
        </w:numPr>
        <w:spacing w:line="480" w:lineRule="auto"/>
      </w:pPr>
      <w:r w:rsidRPr="00FB21D8">
        <w:t>Smoke alarms were activated in 46.2% of cases, compared to 17.2% pre-intervention – a 169% increase.</w:t>
      </w:r>
    </w:p>
    <w:p w:rsidR="00553876" w:rsidRPr="00FB21D8" w:rsidRDefault="00553876" w:rsidP="009529F5">
      <w:pPr>
        <w:numPr>
          <w:ilvl w:val="0"/>
          <w:numId w:val="27"/>
        </w:numPr>
        <w:spacing w:line="480" w:lineRule="auto"/>
      </w:pPr>
      <w:r w:rsidRPr="00FB21D8">
        <w:t>38.6% of fires were confined to the object of origin, compared to 11% pre-intervention – a 251% increase.</w:t>
      </w:r>
    </w:p>
    <w:p w:rsidR="00553876" w:rsidRPr="00FB21D8" w:rsidRDefault="00553876" w:rsidP="009529F5">
      <w:pPr>
        <w:numPr>
          <w:ilvl w:val="0"/>
          <w:numId w:val="27"/>
        </w:numPr>
        <w:spacing w:line="480" w:lineRule="auto"/>
      </w:pPr>
      <w:r w:rsidRPr="00FB21D8">
        <w:t xml:space="preserve">Average loss of $33,486, compared to $66,707 pre-intervention – a 50% decrease, despite </w:t>
      </w:r>
      <w:r w:rsidR="007A7699">
        <w:t xml:space="preserve">a growth in </w:t>
      </w:r>
      <w:r w:rsidRPr="00FB21D8">
        <w:t>average property values in the target areas from $380,000 to $405,000.</w:t>
      </w:r>
    </w:p>
    <w:p w:rsidR="00FB21D8" w:rsidRPr="0081572D" w:rsidRDefault="00ED65FE" w:rsidP="009529F5">
      <w:pPr>
        <w:spacing w:line="480" w:lineRule="auto"/>
        <w:rPr>
          <w:b/>
          <w:caps/>
        </w:rPr>
      </w:pPr>
      <w:r w:rsidRPr="0081572D">
        <w:rPr>
          <w:b/>
          <w:caps/>
        </w:rPr>
        <w:t>Lessons Learned</w:t>
      </w:r>
    </w:p>
    <w:p w:rsidR="00A90C68" w:rsidRDefault="00A90C68" w:rsidP="00A90C68">
      <w:pPr>
        <w:spacing w:line="480" w:lineRule="auto"/>
        <w:ind w:firstLine="187"/>
      </w:pPr>
      <w:r>
        <w:t xml:space="preserve">In researching other international best practices </w:t>
      </w:r>
      <w:r w:rsidR="000D0CBE">
        <w:t>while</w:t>
      </w:r>
      <w:r>
        <w:t xml:space="preserve"> develop</w:t>
      </w:r>
      <w:r w:rsidR="000D0CBE">
        <w:t>ing</w:t>
      </w:r>
      <w:r>
        <w:t xml:space="preserve"> </w:t>
      </w:r>
      <w:proofErr w:type="spellStart"/>
      <w:r w:rsidRPr="00A90C68">
        <w:rPr>
          <w:i/>
        </w:rPr>
        <w:t>HomeSafe</w:t>
      </w:r>
      <w:proofErr w:type="spellEnd"/>
      <w:r>
        <w:t xml:space="preserve">, Surrey </w:t>
      </w:r>
      <w:r w:rsidR="000D0CBE">
        <w:t>found</w:t>
      </w:r>
      <w:r>
        <w:t xml:space="preserve"> that other visitation programs</w:t>
      </w:r>
      <w:r w:rsidR="00091674">
        <w:t xml:space="preserve"> l</w:t>
      </w:r>
      <w:r w:rsidRPr="00FB21D8">
        <w:t>acked conclusive, formal evaluation</w:t>
      </w:r>
      <w:r w:rsidR="00091674">
        <w:t xml:space="preserve"> and o</w:t>
      </w:r>
      <w:r>
        <w:t>ften</w:t>
      </w:r>
      <w:r w:rsidRPr="00FB21D8">
        <w:t xml:space="preserve"> bec</w:t>
      </w:r>
      <w:r>
        <w:t>a</w:t>
      </w:r>
      <w:r w:rsidRPr="00FB21D8">
        <w:t>me victims of their own success, with funding and focus redirected after the problems were percei</w:t>
      </w:r>
      <w:r>
        <w:t>ved to have been resolved</w:t>
      </w:r>
      <w:r w:rsidR="00091674">
        <w:t>.</w:t>
      </w:r>
      <w:r>
        <w:t xml:space="preserve"> </w:t>
      </w:r>
      <w:r w:rsidRPr="00FB21D8">
        <w:t xml:space="preserve">Surrey was determined to avoid these pitfalls and further develop the concept. </w:t>
      </w:r>
    </w:p>
    <w:p w:rsidR="00A90C68" w:rsidRPr="00FB21D8" w:rsidRDefault="00A90C68" w:rsidP="00A90C68">
      <w:pPr>
        <w:spacing w:line="480" w:lineRule="auto"/>
        <w:ind w:firstLine="187"/>
      </w:pPr>
      <w:proofErr w:type="spellStart"/>
      <w:r w:rsidRPr="00FB21D8">
        <w:rPr>
          <w:i/>
        </w:rPr>
        <w:lastRenderedPageBreak/>
        <w:t>HomeSafe</w:t>
      </w:r>
      <w:proofErr w:type="spellEnd"/>
      <w:r w:rsidRPr="00FB21D8">
        <w:t xml:space="preserve"> was the first program of its kind in North America to be subjected to a formal evaluation, published in the March 2012 edition of the </w:t>
      </w:r>
      <w:r w:rsidRPr="00FB21D8">
        <w:rPr>
          <w:i/>
        </w:rPr>
        <w:t xml:space="preserve">Journal of Safety Research </w:t>
      </w:r>
      <w:r w:rsidRPr="00FB21D8">
        <w:t>under the title “Reduced Frequency and Severity of Residential Fires Following Delivery of Fire Prevention Education by On-duty Fire Fighters” as well as other publications.</w:t>
      </w:r>
    </w:p>
    <w:p w:rsidR="00A90C68" w:rsidRDefault="00A90C68" w:rsidP="00FB21D8">
      <w:pPr>
        <w:spacing w:line="480" w:lineRule="auto"/>
        <w:ind w:firstLine="187"/>
        <w:rPr>
          <w:rFonts w:cs="Verdana"/>
          <w:szCs w:val="22"/>
        </w:rPr>
      </w:pPr>
      <w:proofErr w:type="spellStart"/>
      <w:r w:rsidRPr="00FB21D8">
        <w:rPr>
          <w:i/>
        </w:rPr>
        <w:t>HomeSafe</w:t>
      </w:r>
      <w:proofErr w:type="spellEnd"/>
      <w:r w:rsidRPr="00FB21D8">
        <w:t xml:space="preserve"> </w:t>
      </w:r>
      <w:r>
        <w:t>also</w:t>
      </w:r>
      <w:r w:rsidRPr="00FB21D8">
        <w:t xml:space="preserve"> buil</w:t>
      </w:r>
      <w:r>
        <w:t xml:space="preserve">t </w:t>
      </w:r>
      <w:r w:rsidRPr="00FB21D8">
        <w:t xml:space="preserve">on the concept developed in the UK by employing local fire and demographic data to target </w:t>
      </w:r>
      <w:proofErr w:type="spellStart"/>
      <w:r w:rsidRPr="00FB21D8">
        <w:t>neighbo</w:t>
      </w:r>
      <w:r>
        <w:t>u</w:t>
      </w:r>
      <w:r w:rsidRPr="00FB21D8">
        <w:t>rhoods</w:t>
      </w:r>
      <w:proofErr w:type="spellEnd"/>
      <w:r w:rsidRPr="00FB21D8">
        <w:t xml:space="preserve"> historically associated with fire risk, as well as emerging fire hotspots.</w:t>
      </w:r>
      <w:r>
        <w:t xml:space="preserve"> </w:t>
      </w:r>
      <w:r w:rsidR="00F55969" w:rsidRPr="00FB21D8">
        <w:rPr>
          <w:rFonts w:cs="Verdana"/>
          <w:szCs w:val="22"/>
        </w:rPr>
        <w:t xml:space="preserve">The program </w:t>
      </w:r>
      <w:r>
        <w:rPr>
          <w:rFonts w:cs="Verdana"/>
          <w:szCs w:val="22"/>
        </w:rPr>
        <w:t xml:space="preserve">continues to </w:t>
      </w:r>
      <w:r w:rsidR="00F55969" w:rsidRPr="00FB21D8">
        <w:rPr>
          <w:rFonts w:cs="Verdana"/>
          <w:szCs w:val="22"/>
        </w:rPr>
        <w:t>rel</w:t>
      </w:r>
      <w:r>
        <w:rPr>
          <w:rFonts w:cs="Verdana"/>
          <w:szCs w:val="22"/>
        </w:rPr>
        <w:t>y</w:t>
      </w:r>
      <w:r w:rsidR="00F55969" w:rsidRPr="00FB21D8">
        <w:rPr>
          <w:rFonts w:cs="Verdana"/>
          <w:szCs w:val="22"/>
        </w:rPr>
        <w:t xml:space="preserve"> heavily on ongoing analysis of fire data, to enable Surrey to </w:t>
      </w:r>
      <w:r>
        <w:rPr>
          <w:rFonts w:cs="Verdana"/>
          <w:szCs w:val="22"/>
        </w:rPr>
        <w:t>continually</w:t>
      </w:r>
      <w:r w:rsidR="00F55969" w:rsidRPr="00FB21D8">
        <w:rPr>
          <w:rFonts w:cs="Verdana"/>
          <w:szCs w:val="22"/>
        </w:rPr>
        <w:t xml:space="preserve"> target</w:t>
      </w:r>
      <w:r>
        <w:rPr>
          <w:rFonts w:cs="Verdana"/>
          <w:szCs w:val="22"/>
        </w:rPr>
        <w:t xml:space="preserve"> new</w:t>
      </w:r>
      <w:r w:rsidR="00F55969" w:rsidRPr="00FB21D8">
        <w:rPr>
          <w:rFonts w:cs="Verdana"/>
          <w:szCs w:val="22"/>
        </w:rPr>
        <w:t xml:space="preserve"> </w:t>
      </w:r>
      <w:proofErr w:type="spellStart"/>
      <w:r w:rsidR="00F55969" w:rsidRPr="00FB21D8">
        <w:rPr>
          <w:rFonts w:cs="Verdana"/>
          <w:szCs w:val="22"/>
        </w:rPr>
        <w:t>neighbourhoods</w:t>
      </w:r>
      <w:proofErr w:type="spellEnd"/>
      <w:r w:rsidR="00F55969" w:rsidRPr="00FB21D8">
        <w:rPr>
          <w:rFonts w:cs="Verdana"/>
          <w:szCs w:val="22"/>
        </w:rPr>
        <w:t xml:space="preserve"> with the highest incidence of fire. </w:t>
      </w:r>
    </w:p>
    <w:p w:rsidR="00F55969" w:rsidRDefault="00A90C68" w:rsidP="00FB21D8">
      <w:pPr>
        <w:spacing w:line="480" w:lineRule="auto"/>
        <w:ind w:firstLine="187"/>
      </w:pPr>
      <w:r>
        <w:t>As the program has evolved, Surrey continues to learn from the results and seek out opportunities for improvement</w:t>
      </w:r>
      <w:r w:rsidR="000D0CBE">
        <w:t>, including</w:t>
      </w:r>
      <w:r w:rsidR="00FF06AF">
        <w:t>:</w:t>
      </w:r>
      <w:r>
        <w:t xml:space="preserve">  </w:t>
      </w:r>
    </w:p>
    <w:p w:rsidR="00A90C68" w:rsidRPr="00B946D7" w:rsidRDefault="00A90C68" w:rsidP="00091674">
      <w:pPr>
        <w:numPr>
          <w:ilvl w:val="0"/>
          <w:numId w:val="31"/>
        </w:numPr>
        <w:spacing w:line="480" w:lineRule="auto"/>
      </w:pPr>
      <w:r w:rsidRPr="00B946D7">
        <w:t xml:space="preserve">Identification of </w:t>
      </w:r>
      <w:r w:rsidR="00FF06AF">
        <w:t>Surrey’s</w:t>
      </w:r>
      <w:r w:rsidRPr="00B946D7">
        <w:t xml:space="preserve"> highest risk members through closer examination of the links between fire and the age of individuals, cognitive/physical disability, drug-induced impairment and socio-economic factors,</w:t>
      </w:r>
    </w:p>
    <w:p w:rsidR="00A90C68" w:rsidRPr="00B946D7" w:rsidRDefault="00A90C68" w:rsidP="00091674">
      <w:pPr>
        <w:numPr>
          <w:ilvl w:val="0"/>
          <w:numId w:val="31"/>
        </w:numPr>
        <w:spacing w:line="480" w:lineRule="auto"/>
      </w:pPr>
      <w:r w:rsidRPr="00B946D7">
        <w:t>Identification of risks based on dwelling types,</w:t>
      </w:r>
    </w:p>
    <w:p w:rsidR="00A90C68" w:rsidRPr="00B946D7" w:rsidRDefault="00A90C68" w:rsidP="00091674">
      <w:pPr>
        <w:numPr>
          <w:ilvl w:val="0"/>
          <w:numId w:val="31"/>
        </w:numPr>
        <w:spacing w:line="480" w:lineRule="auto"/>
      </w:pPr>
      <w:r w:rsidRPr="00B946D7">
        <w:t>Continued monitoring to ensure the program continues to target the highest risk areas, and</w:t>
      </w:r>
    </w:p>
    <w:p w:rsidR="00091674" w:rsidRPr="00091674" w:rsidRDefault="00A90C68" w:rsidP="00091674">
      <w:pPr>
        <w:numPr>
          <w:ilvl w:val="0"/>
          <w:numId w:val="31"/>
        </w:numPr>
        <w:spacing w:line="480" w:lineRule="auto"/>
        <w:rPr>
          <w:rFonts w:cs="Verdana"/>
          <w:szCs w:val="22"/>
        </w:rPr>
      </w:pPr>
      <w:r w:rsidRPr="00B946D7">
        <w:t>Additional research of applicable best practices to enhance the program’s process, content and delivery, including the use of telemarketing to distribute safety information.</w:t>
      </w:r>
    </w:p>
    <w:p w:rsidR="009E0F63" w:rsidRPr="00FF06AF" w:rsidRDefault="00091674" w:rsidP="00091674">
      <w:pPr>
        <w:spacing w:line="480" w:lineRule="auto"/>
        <w:ind w:firstLine="187"/>
        <w:rPr>
          <w:rFonts w:cs="Verdana"/>
          <w:szCs w:val="22"/>
        </w:rPr>
      </w:pPr>
      <w:proofErr w:type="spellStart"/>
      <w:r w:rsidRPr="002B7B56">
        <w:rPr>
          <w:i/>
        </w:rPr>
        <w:t>HomeSafe</w:t>
      </w:r>
      <w:proofErr w:type="spellEnd"/>
      <w:r w:rsidRPr="00B946D7">
        <w:t xml:space="preserve"> was undertaken through analysis of local data and the targeted application of existing prevention methodologies, with minimal additional cost to the fire service. The logic of this approach can be replicated and applied everywhere. Focusing on the highest-risk members of the community will produce the biggest return on investment. </w:t>
      </w:r>
    </w:p>
    <w:sectPr w:rsidR="009E0F63" w:rsidRPr="00FF06AF" w:rsidSect="00D07CBB">
      <w:headerReference w:type="first" r:id="rId13"/>
      <w:footerReference w:type="first" r:id="rId14"/>
      <w:pgSz w:w="12240" w:h="15840"/>
      <w:pgMar w:top="1008" w:right="1440" w:bottom="1368"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A8" w:rsidRDefault="000D65A8">
      <w:r>
        <w:separator/>
      </w:r>
    </w:p>
  </w:endnote>
  <w:endnote w:type="continuationSeparator" w:id="0">
    <w:p w:rsidR="000D65A8" w:rsidRDefault="000D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rs Eaves OT">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2D" w:rsidRDefault="00E25077" w:rsidP="009E0F63">
    <w:pPr>
      <w:pStyle w:val="Footer"/>
      <w:ind w:right="360"/>
      <w:jc w:val="right"/>
    </w:pPr>
    <w:r>
      <w:rPr>
        <w:rStyle w:val="PageNumber"/>
      </w:rPr>
      <w:fldChar w:fldCharType="begin"/>
    </w:r>
    <w:r w:rsidR="0081572D">
      <w:rPr>
        <w:rStyle w:val="PageNumber"/>
      </w:rPr>
      <w:instrText xml:space="preserve"> PAGE </w:instrText>
    </w:r>
    <w:r>
      <w:rPr>
        <w:rStyle w:val="PageNumber"/>
      </w:rPr>
      <w:fldChar w:fldCharType="separate"/>
    </w:r>
    <w:r w:rsidR="005C7FDA">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2D" w:rsidRDefault="00E25077" w:rsidP="009E0F63">
    <w:pPr>
      <w:pStyle w:val="Footer"/>
      <w:jc w:val="right"/>
    </w:pPr>
    <w:r>
      <w:rPr>
        <w:rStyle w:val="PageNumber"/>
      </w:rPr>
      <w:fldChar w:fldCharType="begin"/>
    </w:r>
    <w:r w:rsidR="0081572D">
      <w:rPr>
        <w:rStyle w:val="PageNumber"/>
      </w:rPr>
      <w:instrText xml:space="preserve"> PAGE </w:instrText>
    </w:r>
    <w:r>
      <w:rPr>
        <w:rStyle w:val="PageNumber"/>
      </w:rPr>
      <w:fldChar w:fldCharType="separate"/>
    </w:r>
    <w:r w:rsidR="005C7FD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A8" w:rsidRDefault="000D65A8">
      <w:r>
        <w:separator/>
      </w:r>
    </w:p>
  </w:footnote>
  <w:footnote w:type="continuationSeparator" w:id="0">
    <w:p w:rsidR="000D65A8" w:rsidRDefault="000D6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2D" w:rsidRPr="000A6D65" w:rsidRDefault="0081572D" w:rsidP="009E0F63">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02F9F"/>
    <w:multiLevelType w:val="hybridMultilevel"/>
    <w:tmpl w:val="7E7C1DB0"/>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0512B"/>
    <w:multiLevelType w:val="hybridMultilevel"/>
    <w:tmpl w:val="7D14BA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95F1A6"/>
    <w:multiLevelType w:val="hybridMultilevel"/>
    <w:tmpl w:val="E03BED6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7F6908"/>
    <w:multiLevelType w:val="hybridMultilevel"/>
    <w:tmpl w:val="61BAA686"/>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64DC1"/>
    <w:multiLevelType w:val="hybridMultilevel"/>
    <w:tmpl w:val="5CE2A0F2"/>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3377DA1"/>
    <w:multiLevelType w:val="hybridMultilevel"/>
    <w:tmpl w:val="EEEA4802"/>
    <w:lvl w:ilvl="0" w:tplc="0710475A">
      <w:start w:val="1"/>
      <w:numFmt w:val="bullet"/>
      <w:lvlText w:val=""/>
      <w:lvlJc w:val="left"/>
      <w:pPr>
        <w:ind w:left="1188" w:hanging="288"/>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40A28CD"/>
    <w:multiLevelType w:val="hybridMultilevel"/>
    <w:tmpl w:val="18EEA48C"/>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0AF226A6"/>
    <w:multiLevelType w:val="hybridMultilevel"/>
    <w:tmpl w:val="971E9D7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F916A10"/>
    <w:multiLevelType w:val="hybridMultilevel"/>
    <w:tmpl w:val="6F34BB40"/>
    <w:lvl w:ilvl="0" w:tplc="0710475A">
      <w:start w:val="1"/>
      <w:numFmt w:val="bullet"/>
      <w:lvlText w:val=""/>
      <w:lvlJc w:val="left"/>
      <w:pPr>
        <w:ind w:left="1195" w:hanging="288"/>
      </w:pPr>
      <w:rPr>
        <w:rFonts w:ascii="Wingdings" w:hAnsi="Wingdings"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nsid w:val="18436ADE"/>
    <w:multiLevelType w:val="hybridMultilevel"/>
    <w:tmpl w:val="9BB1F45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8E07A04"/>
    <w:multiLevelType w:val="hybridMultilevel"/>
    <w:tmpl w:val="6C68729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15C000C"/>
    <w:multiLevelType w:val="hybridMultilevel"/>
    <w:tmpl w:val="0C927B7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4004C5D"/>
    <w:multiLevelType w:val="hybridMultilevel"/>
    <w:tmpl w:val="B0B6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47A36"/>
    <w:multiLevelType w:val="hybridMultilevel"/>
    <w:tmpl w:val="679438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6FF3F5B"/>
    <w:multiLevelType w:val="hybridMultilevel"/>
    <w:tmpl w:val="6FF80E74"/>
    <w:lvl w:ilvl="0" w:tplc="0710475A">
      <w:start w:val="1"/>
      <w:numFmt w:val="bullet"/>
      <w:lvlText w:val=""/>
      <w:lvlJc w:val="left"/>
      <w:pPr>
        <w:ind w:left="1195" w:hanging="288"/>
      </w:pPr>
      <w:rPr>
        <w:rFonts w:ascii="Wingdings" w:hAnsi="Wingdings"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nsid w:val="2F1E5FA8"/>
    <w:multiLevelType w:val="hybridMultilevel"/>
    <w:tmpl w:val="DE24A8A0"/>
    <w:lvl w:ilvl="0" w:tplc="0710475A">
      <w:start w:val="1"/>
      <w:numFmt w:val="bullet"/>
      <w:lvlText w:val=""/>
      <w:lvlJc w:val="left"/>
      <w:pPr>
        <w:ind w:left="1188" w:hanging="288"/>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F261315"/>
    <w:multiLevelType w:val="hybridMultilevel"/>
    <w:tmpl w:val="8BB638CA"/>
    <w:lvl w:ilvl="0" w:tplc="0710475A">
      <w:start w:val="1"/>
      <w:numFmt w:val="bullet"/>
      <w:lvlText w:val=""/>
      <w:lvlJc w:val="left"/>
      <w:pPr>
        <w:ind w:left="468" w:hanging="288"/>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nsid w:val="32AA03ED"/>
    <w:multiLevelType w:val="hybridMultilevel"/>
    <w:tmpl w:val="5C55DEAA"/>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1C13B9E"/>
    <w:multiLevelType w:val="hybridMultilevel"/>
    <w:tmpl w:val="A0AEC898"/>
    <w:lvl w:ilvl="0" w:tplc="0710475A">
      <w:start w:val="1"/>
      <w:numFmt w:val="bullet"/>
      <w:lvlText w:val=""/>
      <w:lvlJc w:val="left"/>
      <w:pPr>
        <w:ind w:left="100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F1823"/>
    <w:multiLevelType w:val="hybridMultilevel"/>
    <w:tmpl w:val="7A9C38E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489C4C58"/>
    <w:multiLevelType w:val="hybridMultilevel"/>
    <w:tmpl w:val="32AE97A4"/>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496B5541"/>
    <w:multiLevelType w:val="hybridMultilevel"/>
    <w:tmpl w:val="BC78D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A752C7"/>
    <w:multiLevelType w:val="hybridMultilevel"/>
    <w:tmpl w:val="B9884D3C"/>
    <w:lvl w:ilvl="0" w:tplc="0710475A">
      <w:start w:val="1"/>
      <w:numFmt w:val="bullet"/>
      <w:lvlText w:val=""/>
      <w:lvlJc w:val="left"/>
      <w:pPr>
        <w:ind w:left="100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73B6F"/>
    <w:multiLevelType w:val="hybridMultilevel"/>
    <w:tmpl w:val="BB2A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460E12"/>
    <w:multiLevelType w:val="hybridMultilevel"/>
    <w:tmpl w:val="D45ECF5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0116B35"/>
    <w:multiLevelType w:val="hybridMultilevel"/>
    <w:tmpl w:val="17E88170"/>
    <w:lvl w:ilvl="0" w:tplc="0710475A">
      <w:start w:val="1"/>
      <w:numFmt w:val="bullet"/>
      <w:lvlText w:val=""/>
      <w:lvlJc w:val="left"/>
      <w:pPr>
        <w:ind w:left="100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3739F1"/>
    <w:multiLevelType w:val="hybridMultilevel"/>
    <w:tmpl w:val="7BA295DA"/>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66C444F"/>
    <w:multiLevelType w:val="hybridMultilevel"/>
    <w:tmpl w:val="79A2D624"/>
    <w:lvl w:ilvl="0" w:tplc="0710475A">
      <w:start w:val="1"/>
      <w:numFmt w:val="bullet"/>
      <w:lvlText w:val=""/>
      <w:lvlJc w:val="left"/>
      <w:pPr>
        <w:ind w:left="1195" w:hanging="288"/>
      </w:pPr>
      <w:rPr>
        <w:rFonts w:ascii="Wingdings" w:hAnsi="Wingdings"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8">
    <w:nsid w:val="693A1CCC"/>
    <w:multiLevelType w:val="hybridMultilevel"/>
    <w:tmpl w:val="0FB8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AB0937"/>
    <w:multiLevelType w:val="hybridMultilevel"/>
    <w:tmpl w:val="CAB4EBF2"/>
    <w:lvl w:ilvl="0" w:tplc="163C6CA6">
      <w:start w:val="6"/>
      <w:numFmt w:val="bullet"/>
      <w:lvlText w:val=""/>
      <w:lvlJc w:val="left"/>
      <w:pPr>
        <w:tabs>
          <w:tab w:val="num" w:pos="360"/>
        </w:tabs>
        <w:ind w:left="360" w:hanging="360"/>
      </w:pPr>
      <w:rPr>
        <w:rFonts w:ascii="Symbol" w:eastAsia="Times New Roman"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nsid w:val="6EC120D0"/>
    <w:multiLevelType w:val="hybridMultilevel"/>
    <w:tmpl w:val="03346212"/>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nsid w:val="7E357FE4"/>
    <w:multiLevelType w:val="hybridMultilevel"/>
    <w:tmpl w:val="4A5C1DBA"/>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7"/>
  </w:num>
  <w:num w:numId="6">
    <w:abstractNumId w:val="7"/>
  </w:num>
  <w:num w:numId="7">
    <w:abstractNumId w:val="9"/>
  </w:num>
  <w:num w:numId="8">
    <w:abstractNumId w:val="10"/>
  </w:num>
  <w:num w:numId="9">
    <w:abstractNumId w:val="20"/>
  </w:num>
  <w:num w:numId="10">
    <w:abstractNumId w:val="29"/>
  </w:num>
  <w:num w:numId="11">
    <w:abstractNumId w:val="13"/>
  </w:num>
  <w:num w:numId="12">
    <w:abstractNumId w:val="19"/>
  </w:num>
  <w:num w:numId="13">
    <w:abstractNumId w:val="6"/>
  </w:num>
  <w:num w:numId="14">
    <w:abstractNumId w:val="31"/>
  </w:num>
  <w:num w:numId="15">
    <w:abstractNumId w:val="30"/>
  </w:num>
  <w:num w:numId="16">
    <w:abstractNumId w:val="26"/>
  </w:num>
  <w:num w:numId="17">
    <w:abstractNumId w:val="11"/>
  </w:num>
  <w:num w:numId="18">
    <w:abstractNumId w:val="24"/>
  </w:num>
  <w:num w:numId="19">
    <w:abstractNumId w:val="4"/>
  </w:num>
  <w:num w:numId="20">
    <w:abstractNumId w:val="15"/>
  </w:num>
  <w:num w:numId="21">
    <w:abstractNumId w:val="5"/>
  </w:num>
  <w:num w:numId="22">
    <w:abstractNumId w:val="16"/>
  </w:num>
  <w:num w:numId="23">
    <w:abstractNumId w:val="22"/>
  </w:num>
  <w:num w:numId="24">
    <w:abstractNumId w:val="12"/>
  </w:num>
  <w:num w:numId="25">
    <w:abstractNumId w:val="18"/>
  </w:num>
  <w:num w:numId="26">
    <w:abstractNumId w:val="28"/>
  </w:num>
  <w:num w:numId="27">
    <w:abstractNumId w:val="23"/>
  </w:num>
  <w:num w:numId="28">
    <w:abstractNumId w:val="25"/>
  </w:num>
  <w:num w:numId="29">
    <w:abstractNumId w:val="14"/>
  </w:num>
  <w:num w:numId="30">
    <w:abstractNumId w:val="27"/>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CE"/>
    <w:rsid w:val="000660DB"/>
    <w:rsid w:val="00091674"/>
    <w:rsid w:val="000A1C22"/>
    <w:rsid w:val="000D0CBE"/>
    <w:rsid w:val="000D65A8"/>
    <w:rsid w:val="000F4ACE"/>
    <w:rsid w:val="00143C3C"/>
    <w:rsid w:val="001B7C37"/>
    <w:rsid w:val="002945F4"/>
    <w:rsid w:val="002B2F3A"/>
    <w:rsid w:val="002F4353"/>
    <w:rsid w:val="00346B6B"/>
    <w:rsid w:val="0037161F"/>
    <w:rsid w:val="003807BC"/>
    <w:rsid w:val="00434413"/>
    <w:rsid w:val="0047663D"/>
    <w:rsid w:val="004C5AC0"/>
    <w:rsid w:val="00553876"/>
    <w:rsid w:val="005C7FDA"/>
    <w:rsid w:val="006141F4"/>
    <w:rsid w:val="006337EC"/>
    <w:rsid w:val="00642FEC"/>
    <w:rsid w:val="00646974"/>
    <w:rsid w:val="00722367"/>
    <w:rsid w:val="00727658"/>
    <w:rsid w:val="00792B03"/>
    <w:rsid w:val="007A333C"/>
    <w:rsid w:val="007A7699"/>
    <w:rsid w:val="0081572D"/>
    <w:rsid w:val="009529F5"/>
    <w:rsid w:val="009675F8"/>
    <w:rsid w:val="009A4048"/>
    <w:rsid w:val="009A4D9F"/>
    <w:rsid w:val="009E0F63"/>
    <w:rsid w:val="009E37CF"/>
    <w:rsid w:val="00A227EE"/>
    <w:rsid w:val="00A85638"/>
    <w:rsid w:val="00A90C68"/>
    <w:rsid w:val="00AA1EB8"/>
    <w:rsid w:val="00AB7CBF"/>
    <w:rsid w:val="00AE7E32"/>
    <w:rsid w:val="00AF2247"/>
    <w:rsid w:val="00B37771"/>
    <w:rsid w:val="00B60051"/>
    <w:rsid w:val="00B75343"/>
    <w:rsid w:val="00BC2538"/>
    <w:rsid w:val="00BE49A1"/>
    <w:rsid w:val="00D07CBB"/>
    <w:rsid w:val="00D164CB"/>
    <w:rsid w:val="00E04CD7"/>
    <w:rsid w:val="00E25077"/>
    <w:rsid w:val="00E762C7"/>
    <w:rsid w:val="00ED65FE"/>
    <w:rsid w:val="00EE7533"/>
    <w:rsid w:val="00F40B10"/>
    <w:rsid w:val="00F4609E"/>
    <w:rsid w:val="00F55969"/>
    <w:rsid w:val="00FB21D8"/>
    <w:rsid w:val="00FD1DF3"/>
    <w:rsid w:val="00FF06AF"/>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9B6462"/>
    <w:rPr>
      <w:lang w:val="en-US" w:eastAsia="en-US"/>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70C0E"/>
    <w:rPr>
      <w:rFonts w:ascii="Tahoma" w:hAnsi="Tahoma" w:cs="Tahoma"/>
      <w:sz w:val="16"/>
      <w:szCs w:val="16"/>
    </w:rPr>
  </w:style>
  <w:style w:type="character" w:customStyle="1" w:styleId="BalloonTextChar">
    <w:name w:val="Balloon Text Char"/>
    <w:basedOn w:val="DefaultParagraphFont"/>
    <w:uiPriority w:val="99"/>
    <w:semiHidden/>
    <w:rsid w:val="00770195"/>
    <w:rPr>
      <w:rFonts w:ascii="Lucida Grande" w:hAnsi="Lucida Grande"/>
      <w:sz w:val="18"/>
      <w:szCs w:val="18"/>
    </w:rPr>
  </w:style>
  <w:style w:type="character" w:customStyle="1" w:styleId="Heading1Char">
    <w:name w:val="Heading 1 Char"/>
    <w:basedOn w:val="DefaultParagraphFont"/>
    <w:link w:val="Heading1"/>
    <w:uiPriority w:val="9"/>
    <w:locked/>
    <w:rsid w:val="009B646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9B646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9B6462"/>
    <w:rPr>
      <w:rFonts w:ascii="Cambria" w:eastAsia="Times New Roman" w:hAnsi="Cambria" w:cs="Times New Roman"/>
      <w:b/>
      <w:bCs/>
      <w:sz w:val="26"/>
      <w:szCs w:val="26"/>
    </w:rPr>
  </w:style>
  <w:style w:type="paragraph" w:customStyle="1" w:styleId="Default">
    <w:name w:val="Default"/>
    <w:uiPriority w:val="99"/>
    <w:rsid w:val="009B6462"/>
    <w:pPr>
      <w:widowControl w:val="0"/>
      <w:autoSpaceDE w:val="0"/>
      <w:autoSpaceDN w:val="0"/>
      <w:adjustRightInd w:val="0"/>
    </w:pPr>
    <w:rPr>
      <w:rFonts w:ascii="Mrs Eaves OT" w:hAnsi="Mrs Eaves OT" w:cs="Mrs Eaves OT"/>
      <w:color w:val="000000"/>
      <w:lang w:val="en-US" w:eastAsia="en-US"/>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semiHidden/>
    <w:locked/>
    <w:rsid w:val="009B6462"/>
    <w:rPr>
      <w:rFonts w:cs="Times New Roman"/>
      <w:sz w:val="24"/>
      <w:szCs w:val="24"/>
    </w:rPr>
  </w:style>
  <w:style w:type="table" w:styleId="TableGrid">
    <w:name w:val="Table Grid"/>
    <w:basedOn w:val="TableNormal"/>
    <w:uiPriority w:val="99"/>
    <w:rsid w:val="00272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rFonts w:cs="Times New Roman"/>
      <w:b/>
      <w:bCs/>
      <w:sz w:val="20"/>
      <w:szCs w:val="20"/>
    </w:rPr>
  </w:style>
  <w:style w:type="character" w:customStyle="1" w:styleId="BalloonTextChar1">
    <w:name w:val="Balloon Text Char1"/>
    <w:basedOn w:val="DefaultParagraphFont"/>
    <w:link w:val="BalloonText"/>
    <w:uiPriority w:val="99"/>
    <w:semiHidden/>
    <w:locked/>
    <w:rsid w:val="009B6462"/>
    <w:rPr>
      <w:rFonts w:ascii="Tahoma" w:hAnsi="Tahoma" w:cs="Tahoma"/>
      <w:sz w:val="16"/>
      <w:szCs w:val="16"/>
    </w:rPr>
  </w:style>
  <w:style w:type="character" w:styleId="PageNumber">
    <w:name w:val="page number"/>
    <w:basedOn w:val="DefaultParagraphFont"/>
    <w:uiPriority w:val="99"/>
    <w:semiHidden/>
    <w:unhideWhenUsed/>
    <w:rsid w:val="00D64207"/>
  </w:style>
  <w:style w:type="paragraph" w:styleId="ListParagraph">
    <w:name w:val="List Paragraph"/>
    <w:basedOn w:val="Normal"/>
    <w:rsid w:val="00792B03"/>
    <w:pPr>
      <w:ind w:left="720"/>
      <w:contextualSpacing/>
    </w:pPr>
  </w:style>
  <w:style w:type="paragraph" w:styleId="FootnoteText">
    <w:name w:val="footnote text"/>
    <w:basedOn w:val="Normal"/>
    <w:link w:val="FootnoteTextChar"/>
    <w:rsid w:val="00553876"/>
    <w:rPr>
      <w:rFonts w:ascii="Arial" w:eastAsia="Cambria" w:hAnsi="Arial"/>
      <w:sz w:val="18"/>
      <w:szCs w:val="20"/>
    </w:rPr>
  </w:style>
  <w:style w:type="character" w:customStyle="1" w:styleId="FootnoteTextChar">
    <w:name w:val="Footnote Text Char"/>
    <w:basedOn w:val="DefaultParagraphFont"/>
    <w:link w:val="FootnoteText"/>
    <w:rsid w:val="00553876"/>
    <w:rPr>
      <w:rFonts w:ascii="Arial" w:eastAsia="Cambria" w:hAnsi="Arial"/>
      <w:sz w:val="18"/>
      <w:szCs w:val="20"/>
      <w:lang w:val="en-US" w:eastAsia="en-US"/>
    </w:rPr>
  </w:style>
  <w:style w:type="character" w:styleId="FootnoteReference">
    <w:name w:val="footnote reference"/>
    <w:basedOn w:val="DefaultParagraphFont"/>
    <w:rsid w:val="005538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9B6462"/>
    <w:rPr>
      <w:lang w:val="en-US" w:eastAsia="en-US"/>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70C0E"/>
    <w:rPr>
      <w:rFonts w:ascii="Tahoma" w:hAnsi="Tahoma" w:cs="Tahoma"/>
      <w:sz w:val="16"/>
      <w:szCs w:val="16"/>
    </w:rPr>
  </w:style>
  <w:style w:type="character" w:customStyle="1" w:styleId="BalloonTextChar">
    <w:name w:val="Balloon Text Char"/>
    <w:basedOn w:val="DefaultParagraphFont"/>
    <w:uiPriority w:val="99"/>
    <w:semiHidden/>
    <w:rsid w:val="00770195"/>
    <w:rPr>
      <w:rFonts w:ascii="Lucida Grande" w:hAnsi="Lucida Grande"/>
      <w:sz w:val="18"/>
      <w:szCs w:val="18"/>
    </w:rPr>
  </w:style>
  <w:style w:type="character" w:customStyle="1" w:styleId="Heading1Char">
    <w:name w:val="Heading 1 Char"/>
    <w:basedOn w:val="DefaultParagraphFont"/>
    <w:link w:val="Heading1"/>
    <w:uiPriority w:val="9"/>
    <w:locked/>
    <w:rsid w:val="009B646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9B646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9B6462"/>
    <w:rPr>
      <w:rFonts w:ascii="Cambria" w:eastAsia="Times New Roman" w:hAnsi="Cambria" w:cs="Times New Roman"/>
      <w:b/>
      <w:bCs/>
      <w:sz w:val="26"/>
      <w:szCs w:val="26"/>
    </w:rPr>
  </w:style>
  <w:style w:type="paragraph" w:customStyle="1" w:styleId="Default">
    <w:name w:val="Default"/>
    <w:uiPriority w:val="99"/>
    <w:rsid w:val="009B6462"/>
    <w:pPr>
      <w:widowControl w:val="0"/>
      <w:autoSpaceDE w:val="0"/>
      <w:autoSpaceDN w:val="0"/>
      <w:adjustRightInd w:val="0"/>
    </w:pPr>
    <w:rPr>
      <w:rFonts w:ascii="Mrs Eaves OT" w:hAnsi="Mrs Eaves OT" w:cs="Mrs Eaves OT"/>
      <w:color w:val="000000"/>
      <w:lang w:val="en-US" w:eastAsia="en-US"/>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semiHidden/>
    <w:locked/>
    <w:rsid w:val="009B6462"/>
    <w:rPr>
      <w:rFonts w:cs="Times New Roman"/>
      <w:sz w:val="24"/>
      <w:szCs w:val="24"/>
    </w:rPr>
  </w:style>
  <w:style w:type="table" w:styleId="TableGrid">
    <w:name w:val="Table Grid"/>
    <w:basedOn w:val="TableNormal"/>
    <w:uiPriority w:val="99"/>
    <w:rsid w:val="00272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rFonts w:cs="Times New Roman"/>
      <w:b/>
      <w:bCs/>
      <w:sz w:val="20"/>
      <w:szCs w:val="20"/>
    </w:rPr>
  </w:style>
  <w:style w:type="character" w:customStyle="1" w:styleId="BalloonTextChar1">
    <w:name w:val="Balloon Text Char1"/>
    <w:basedOn w:val="DefaultParagraphFont"/>
    <w:link w:val="BalloonText"/>
    <w:uiPriority w:val="99"/>
    <w:semiHidden/>
    <w:locked/>
    <w:rsid w:val="009B6462"/>
    <w:rPr>
      <w:rFonts w:ascii="Tahoma" w:hAnsi="Tahoma" w:cs="Tahoma"/>
      <w:sz w:val="16"/>
      <w:szCs w:val="16"/>
    </w:rPr>
  </w:style>
  <w:style w:type="character" w:styleId="PageNumber">
    <w:name w:val="page number"/>
    <w:basedOn w:val="DefaultParagraphFont"/>
    <w:uiPriority w:val="99"/>
    <w:semiHidden/>
    <w:unhideWhenUsed/>
    <w:rsid w:val="00D64207"/>
  </w:style>
  <w:style w:type="paragraph" w:styleId="ListParagraph">
    <w:name w:val="List Paragraph"/>
    <w:basedOn w:val="Normal"/>
    <w:rsid w:val="00792B03"/>
    <w:pPr>
      <w:ind w:left="720"/>
      <w:contextualSpacing/>
    </w:pPr>
  </w:style>
  <w:style w:type="paragraph" w:styleId="FootnoteText">
    <w:name w:val="footnote text"/>
    <w:basedOn w:val="Normal"/>
    <w:link w:val="FootnoteTextChar"/>
    <w:rsid w:val="00553876"/>
    <w:rPr>
      <w:rFonts w:ascii="Arial" w:eastAsia="Cambria" w:hAnsi="Arial"/>
      <w:sz w:val="18"/>
      <w:szCs w:val="20"/>
    </w:rPr>
  </w:style>
  <w:style w:type="character" w:customStyle="1" w:styleId="FootnoteTextChar">
    <w:name w:val="Footnote Text Char"/>
    <w:basedOn w:val="DefaultParagraphFont"/>
    <w:link w:val="FootnoteText"/>
    <w:rsid w:val="00553876"/>
    <w:rPr>
      <w:rFonts w:ascii="Arial" w:eastAsia="Cambria" w:hAnsi="Arial"/>
      <w:sz w:val="18"/>
      <w:szCs w:val="20"/>
      <w:lang w:val="en-US" w:eastAsia="en-US"/>
    </w:rPr>
  </w:style>
  <w:style w:type="character" w:styleId="FootnoteReference">
    <w:name w:val="footnote reference"/>
    <w:basedOn w:val="DefaultParagraphFont"/>
    <w:rsid w:val="00553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wards@icm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wards@icm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2009 Annual Awards Program</vt:lpstr>
    </vt:vector>
  </TitlesOfParts>
  <Company>ICMA</Company>
  <LinksUpToDate>false</LinksUpToDate>
  <CharactersWithSpaces>11722</CharactersWithSpaces>
  <SharedDoc>false</SharedDoc>
  <HLinks>
    <vt:vector size="12" baseType="variant">
      <vt:variant>
        <vt:i4>4980836</vt:i4>
      </vt:variant>
      <vt:variant>
        <vt:i4>26</vt:i4>
      </vt:variant>
      <vt:variant>
        <vt:i4>0</vt:i4>
      </vt:variant>
      <vt:variant>
        <vt:i4>5</vt:i4>
      </vt:variant>
      <vt:variant>
        <vt:lpwstr>mailto:awards@icma.org</vt:lpwstr>
      </vt:variant>
      <vt:variant>
        <vt:lpwstr/>
      </vt:variant>
      <vt:variant>
        <vt:i4>4980836</vt:i4>
      </vt:variant>
      <vt:variant>
        <vt:i4>23</vt:i4>
      </vt:variant>
      <vt:variant>
        <vt:i4>0</vt:i4>
      </vt:variant>
      <vt:variant>
        <vt:i4>5</vt:i4>
      </vt:variant>
      <vt:variant>
        <vt:lpwstr>mailto:awards@icma.org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Annual Awards Program</dc:title>
  <dc:creator>amiller</dc:creator>
  <cp:lastModifiedBy>flittky</cp:lastModifiedBy>
  <cp:revision>2</cp:revision>
  <cp:lastPrinted>2008-12-31T18:28:00Z</cp:lastPrinted>
  <dcterms:created xsi:type="dcterms:W3CDTF">2013-03-12T12:45:00Z</dcterms:created>
  <dcterms:modified xsi:type="dcterms:W3CDTF">2013-03-12T12:45:00Z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0x010100E03B41E5E8AA2141AB1E59821892174C</vt:lpwstr>
  </property>
</Properties>
</file>