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8F" w:rsidRDefault="007741AC" w:rsidP="000B3E8F">
      <w:pPr>
        <w:jc w:val="center"/>
        <w:rPr>
          <w:b/>
        </w:rPr>
      </w:pPr>
      <w:r>
        <w:rPr>
          <w:b/>
          <w:u w:val="single"/>
        </w:rPr>
        <w:t xml:space="preserve">CITY OF LEESBURG </w:t>
      </w:r>
      <w:r w:rsidR="000B3E8F" w:rsidRPr="0082539E">
        <w:rPr>
          <w:b/>
          <w:u w:val="single"/>
        </w:rPr>
        <w:t>ENTERPRISE PERF</w:t>
      </w:r>
      <w:r w:rsidR="00857539" w:rsidRPr="0082539E">
        <w:rPr>
          <w:b/>
          <w:u w:val="single"/>
        </w:rPr>
        <w:t>ORMANCE INCENTIVE PROGRAM</w:t>
      </w:r>
    </w:p>
    <w:p w:rsidR="0082539E" w:rsidRDefault="0082539E" w:rsidP="000B3E8F">
      <w:pPr>
        <w:jc w:val="center"/>
        <w:rPr>
          <w:b/>
        </w:rPr>
      </w:pPr>
    </w:p>
    <w:p w:rsidR="0082539E" w:rsidRPr="00035DF8" w:rsidRDefault="00F50E58" w:rsidP="000B3E8F">
      <w:pPr>
        <w:jc w:val="center"/>
        <w:rPr>
          <w:b/>
        </w:rPr>
      </w:pPr>
      <w:r>
        <w:rPr>
          <w:b/>
        </w:rPr>
        <w:t>“A Responsible Profit Sharing Model for the Public Sector”</w:t>
      </w:r>
    </w:p>
    <w:p w:rsidR="00250703" w:rsidRPr="00035DF8" w:rsidRDefault="00250703" w:rsidP="00250703">
      <w:pPr>
        <w:jc w:val="both"/>
      </w:pPr>
    </w:p>
    <w:p w:rsidR="00250703" w:rsidRPr="00035DF8" w:rsidRDefault="00392471" w:rsidP="00AA7E4B">
      <w:pPr>
        <w:spacing w:line="480" w:lineRule="auto"/>
        <w:ind w:firstLine="720"/>
        <w:jc w:val="both"/>
      </w:pPr>
      <w:r>
        <w:t xml:space="preserve">One concept of doing business </w:t>
      </w:r>
      <w:r w:rsidR="00ED6F25">
        <w:t xml:space="preserve">that local government has yet to embrace </w:t>
      </w:r>
      <w:r>
        <w:t xml:space="preserve">in </w:t>
      </w:r>
      <w:r w:rsidR="00ED6F25">
        <w:t xml:space="preserve">any meaningful fashion </w:t>
      </w:r>
      <w:r w:rsidR="00577F78">
        <w:t xml:space="preserve">is the common </w:t>
      </w:r>
      <w:r w:rsidR="00ED6F25">
        <w:t xml:space="preserve">practice </w:t>
      </w:r>
      <w:r w:rsidR="002C1494">
        <w:t xml:space="preserve">found in the private sector </w:t>
      </w:r>
      <w:r w:rsidR="00ED6F25">
        <w:t xml:space="preserve">of </w:t>
      </w:r>
      <w:r>
        <w:t xml:space="preserve">making employees accountable for </w:t>
      </w:r>
      <w:r w:rsidR="00250703" w:rsidRPr="00035DF8">
        <w:t xml:space="preserve">organizational performance.  Corporate compensation systems </w:t>
      </w:r>
      <w:r w:rsidR="003D3731">
        <w:t>often link</w:t>
      </w:r>
      <w:r w:rsidR="00A93C59">
        <w:t xml:space="preserve"> employee </w:t>
      </w:r>
      <w:r w:rsidR="002C1494">
        <w:t>earnings</w:t>
      </w:r>
      <w:r w:rsidR="00A93C59">
        <w:t xml:space="preserve"> to </w:t>
      </w:r>
      <w:r w:rsidR="00250703" w:rsidRPr="00035DF8">
        <w:t xml:space="preserve">organizational performance, </w:t>
      </w:r>
      <w:r w:rsidR="00A93C59">
        <w:t xml:space="preserve">so that </w:t>
      </w:r>
      <w:r w:rsidR="00250703" w:rsidRPr="00035DF8">
        <w:t>e</w:t>
      </w:r>
      <w:r w:rsidR="003D3731">
        <w:t>very</w:t>
      </w:r>
      <w:r w:rsidR="00250703" w:rsidRPr="00035DF8">
        <w:t xml:space="preserve"> employee </w:t>
      </w:r>
      <w:r w:rsidR="00336414">
        <w:t xml:space="preserve">is made to </w:t>
      </w:r>
      <w:r w:rsidR="00A93C59">
        <w:t xml:space="preserve">feel </w:t>
      </w:r>
      <w:r w:rsidR="00336414">
        <w:t xml:space="preserve">that </w:t>
      </w:r>
      <w:r w:rsidR="002C1494">
        <w:t>t</w:t>
      </w:r>
      <w:r w:rsidR="00A93C59">
        <w:t xml:space="preserve">hey have </w:t>
      </w:r>
      <w:r w:rsidR="00250703" w:rsidRPr="00035DF8">
        <w:t xml:space="preserve">a stake in </w:t>
      </w:r>
      <w:r w:rsidR="00A93C59">
        <w:t xml:space="preserve">the </w:t>
      </w:r>
      <w:r w:rsidR="00250703" w:rsidRPr="00035DF8">
        <w:t>comp</w:t>
      </w:r>
      <w:r w:rsidR="00A93C59">
        <w:t xml:space="preserve">any’s overall success or failure.  </w:t>
      </w:r>
      <w:r w:rsidR="002C1494">
        <w:t>In its various forms</w:t>
      </w:r>
      <w:r w:rsidR="004737DC">
        <w:t>,</w:t>
      </w:r>
      <w:r w:rsidR="002C1494">
        <w:t xml:space="preserve"> </w:t>
      </w:r>
      <w:r w:rsidR="00A93C59">
        <w:t xml:space="preserve">profit sharing </w:t>
      </w:r>
      <w:r w:rsidR="004737DC">
        <w:t xml:space="preserve">tends to </w:t>
      </w:r>
      <w:r w:rsidR="00250703" w:rsidRPr="00035DF8">
        <w:t>motivate employees to provide top-quality service</w:t>
      </w:r>
      <w:r w:rsidR="007F44EE" w:rsidRPr="00035DF8">
        <w:t xml:space="preserve">, </w:t>
      </w:r>
      <w:r w:rsidR="00A93C59">
        <w:t>since</w:t>
      </w:r>
      <w:r w:rsidR="007F44EE" w:rsidRPr="00035DF8">
        <w:t xml:space="preserve"> </w:t>
      </w:r>
      <w:r w:rsidR="00ED6F25" w:rsidRPr="00035DF8">
        <w:t>satisfied customer</w:t>
      </w:r>
      <w:r w:rsidR="00A93C59">
        <w:t>s</w:t>
      </w:r>
      <w:r w:rsidR="00ED6F25">
        <w:t xml:space="preserve"> typically </w:t>
      </w:r>
      <w:r w:rsidR="00A93C59">
        <w:t xml:space="preserve">translates into </w:t>
      </w:r>
      <w:r w:rsidR="00250703" w:rsidRPr="00035DF8">
        <w:t xml:space="preserve">more business for </w:t>
      </w:r>
      <w:r w:rsidR="003D3731">
        <w:t>the</w:t>
      </w:r>
      <w:r w:rsidR="00250703" w:rsidRPr="00035DF8">
        <w:t xml:space="preserve"> company, </w:t>
      </w:r>
      <w:r w:rsidR="002C1494">
        <w:t xml:space="preserve">resulting in increased </w:t>
      </w:r>
      <w:r w:rsidR="00A93C59">
        <w:t xml:space="preserve">profits and </w:t>
      </w:r>
      <w:r w:rsidR="002C1494">
        <w:t xml:space="preserve">additional </w:t>
      </w:r>
      <w:r w:rsidR="00A93C59">
        <w:t>employment stability for workers.</w:t>
      </w:r>
      <w:r w:rsidR="00AA7E4B">
        <w:t xml:space="preserve">  </w:t>
      </w:r>
      <w:r w:rsidR="002C1494">
        <w:t>Does this business model have a place i</w:t>
      </w:r>
      <w:r w:rsidR="00AA7E4B">
        <w:t xml:space="preserve">n </w:t>
      </w:r>
      <w:r w:rsidR="00250703" w:rsidRPr="00035DF8">
        <w:t>local government</w:t>
      </w:r>
      <w:r w:rsidR="00AA7E4B">
        <w:t>?</w:t>
      </w:r>
      <w:r w:rsidR="00250703" w:rsidRPr="00035DF8">
        <w:t xml:space="preserve">  </w:t>
      </w:r>
      <w:r w:rsidR="004737DC">
        <w:t xml:space="preserve">Despite </w:t>
      </w:r>
      <w:r w:rsidR="004737DC" w:rsidRPr="00035DF8">
        <w:t>claim</w:t>
      </w:r>
      <w:r w:rsidR="004737DC">
        <w:t>s</w:t>
      </w:r>
      <w:r w:rsidR="004737DC" w:rsidRPr="00035DF8">
        <w:t xml:space="preserve"> that “government is different,” “government doesn’t exist to make a profit” and “that just won’t work here</w:t>
      </w:r>
      <w:r w:rsidR="004737DC">
        <w:t>,</w:t>
      </w:r>
      <w:r w:rsidR="004737DC" w:rsidRPr="00035DF8">
        <w:t>”</w:t>
      </w:r>
      <w:r w:rsidR="004737DC">
        <w:t xml:space="preserve"> w</w:t>
      </w:r>
      <w:r w:rsidR="007F44EE" w:rsidRPr="00035DF8">
        <w:t xml:space="preserve">e believe it </w:t>
      </w:r>
      <w:r w:rsidR="002C1494">
        <w:t>does</w:t>
      </w:r>
      <w:r w:rsidR="00250703" w:rsidRPr="00035DF8">
        <w:t>.</w:t>
      </w:r>
    </w:p>
    <w:p w:rsidR="00250703" w:rsidRPr="00035DF8" w:rsidRDefault="00250703" w:rsidP="00857539">
      <w:pPr>
        <w:spacing w:line="480" w:lineRule="auto"/>
        <w:ind w:firstLine="720"/>
        <w:jc w:val="both"/>
      </w:pPr>
      <w:r w:rsidRPr="00035DF8">
        <w:t>Giving government employees a stake in the performance of the</w:t>
      </w:r>
      <w:r w:rsidR="00857539" w:rsidRPr="00035DF8">
        <w:t>ir</w:t>
      </w:r>
      <w:r w:rsidRPr="00035DF8">
        <w:t xml:space="preserve"> organization should be part of the new way government operates.  Performance </w:t>
      </w:r>
      <w:r w:rsidR="00857539" w:rsidRPr="00035DF8">
        <w:t>a</w:t>
      </w:r>
      <w:r w:rsidRPr="00035DF8">
        <w:t xml:space="preserve">s </w:t>
      </w:r>
      <w:r w:rsidR="00857539" w:rsidRPr="00035DF8">
        <w:t>use</w:t>
      </w:r>
      <w:r w:rsidRPr="00035DF8">
        <w:t xml:space="preserve">d </w:t>
      </w:r>
      <w:r w:rsidR="00857539" w:rsidRPr="00035DF8">
        <w:t xml:space="preserve">here </w:t>
      </w:r>
      <w:r w:rsidR="003D3731">
        <w:t xml:space="preserve">is not </w:t>
      </w:r>
      <w:r w:rsidR="00336414">
        <w:t>intended</w:t>
      </w:r>
      <w:r w:rsidR="003D3731">
        <w:t xml:space="preserve"> to </w:t>
      </w:r>
      <w:r w:rsidR="00857539" w:rsidRPr="00035DF8">
        <w:t>refer</w:t>
      </w:r>
      <w:r w:rsidRPr="00035DF8">
        <w:t xml:space="preserve"> </w:t>
      </w:r>
      <w:r w:rsidR="00857539" w:rsidRPr="00035DF8">
        <w:t xml:space="preserve">solely to </w:t>
      </w:r>
      <w:r w:rsidRPr="00035DF8">
        <w:t xml:space="preserve">the bottom line, but also </w:t>
      </w:r>
      <w:r w:rsidR="003D3731">
        <w:t xml:space="preserve">includes </w:t>
      </w:r>
      <w:r w:rsidRPr="00035DF8">
        <w:t xml:space="preserve">the impact the organization has on the customer (the ratepayer or taxpayer).  Shouldn’t government employees care about rate increases or increases in taxes?  Shouldn’t they care about the financial health of the organization?   Shouldn’t they care about both the short-term and long-term consequences of staffing, benefit levels, debt levels, life-cycle costs, changes in revenues, expenditures, and so forth?  Should we be surprised at an unsatisfactory outcome when </w:t>
      </w:r>
      <w:r w:rsidR="009903EE">
        <w:t>the compensation</w:t>
      </w:r>
      <w:r w:rsidRPr="00035DF8">
        <w:t xml:space="preserve"> system provides no incentive to the front-line employee to care about the overall performance of the organization?  It </w:t>
      </w:r>
      <w:r w:rsidRPr="00035DF8">
        <w:rPr>
          <w:i/>
          <w:iCs/>
        </w:rPr>
        <w:t>can</w:t>
      </w:r>
      <w:r w:rsidRPr="00035DF8">
        <w:t xml:space="preserve"> be different.</w:t>
      </w:r>
    </w:p>
    <w:p w:rsidR="00AE7734" w:rsidRDefault="00857539" w:rsidP="00531D97">
      <w:pPr>
        <w:spacing w:line="480" w:lineRule="auto"/>
        <w:ind w:firstLine="720"/>
        <w:jc w:val="both"/>
      </w:pPr>
      <w:r w:rsidRPr="00035DF8">
        <w:lastRenderedPageBreak/>
        <w:t>The Enterprise Performance Incentive Program (EPIP) implemented by the City of Leesburg, Florida, in December of 2010</w:t>
      </w:r>
      <w:r w:rsidR="00250703" w:rsidRPr="00035DF8">
        <w:t xml:space="preserve"> is a system </w:t>
      </w:r>
      <w:r w:rsidR="007124AC" w:rsidRPr="00035DF8">
        <w:t xml:space="preserve">specifically </w:t>
      </w:r>
      <w:r w:rsidRPr="00035DF8">
        <w:t xml:space="preserve">designed to </w:t>
      </w:r>
      <w:r w:rsidR="00250703" w:rsidRPr="00035DF8">
        <w:t xml:space="preserve">increase </w:t>
      </w:r>
      <w:r w:rsidRPr="00035DF8">
        <w:t xml:space="preserve">each public employee’s </w:t>
      </w:r>
      <w:r w:rsidR="00250703" w:rsidRPr="00035DF8">
        <w:t>interest in</w:t>
      </w:r>
      <w:r w:rsidRPr="00035DF8">
        <w:t>,</w:t>
      </w:r>
      <w:r w:rsidR="00250703" w:rsidRPr="00035DF8">
        <w:t xml:space="preserve"> and responsiveness to</w:t>
      </w:r>
      <w:r w:rsidRPr="00035DF8">
        <w:t>,</w:t>
      </w:r>
      <w:r w:rsidR="00250703" w:rsidRPr="00035DF8">
        <w:t xml:space="preserve"> Leesburg’s success as an organization.  </w:t>
      </w:r>
      <w:r w:rsidR="00D4511D">
        <w:t xml:space="preserve">Unlike </w:t>
      </w:r>
      <w:r w:rsidR="00531D97">
        <w:t>t</w:t>
      </w:r>
      <w:r w:rsidR="00250703" w:rsidRPr="00035DF8">
        <w:t xml:space="preserve">he traditional model </w:t>
      </w:r>
      <w:r w:rsidR="00D4511D">
        <w:t xml:space="preserve">in which </w:t>
      </w:r>
      <w:r w:rsidR="00531D97">
        <w:t xml:space="preserve">employees are </w:t>
      </w:r>
      <w:r w:rsidR="00250703" w:rsidRPr="00035DF8">
        <w:t>granted across-the-board merit</w:t>
      </w:r>
      <w:r w:rsidR="00D4511D">
        <w:t xml:space="preserve"> pay</w:t>
      </w:r>
      <w:r w:rsidR="00250703" w:rsidRPr="00035DF8">
        <w:t xml:space="preserve"> increases</w:t>
      </w:r>
      <w:r w:rsidR="00531D97">
        <w:t xml:space="preserve">, </w:t>
      </w:r>
      <w:r w:rsidR="00250703" w:rsidRPr="00035DF8">
        <w:t>subject to e</w:t>
      </w:r>
      <w:r w:rsidR="004737DC">
        <w:t>ach</w:t>
      </w:r>
      <w:r w:rsidR="00250703" w:rsidRPr="00035DF8">
        <w:t xml:space="preserve"> employee’s personal performance evaluation</w:t>
      </w:r>
      <w:r w:rsidR="00531D97">
        <w:t xml:space="preserve">, under EPIP </w:t>
      </w:r>
      <w:r w:rsidR="00437867">
        <w:t xml:space="preserve">each </w:t>
      </w:r>
      <w:r w:rsidR="00531D97">
        <w:t xml:space="preserve">employee in </w:t>
      </w:r>
      <w:r w:rsidR="00437867">
        <w:t>one</w:t>
      </w:r>
      <w:r w:rsidR="00531D97">
        <w:t xml:space="preserve"> of the City’s “</w:t>
      </w:r>
      <w:r w:rsidR="00531D97" w:rsidRPr="009903EE">
        <w:t>enterprises</w:t>
      </w:r>
      <w:r w:rsidR="00531D97">
        <w:t xml:space="preserve">” (enterprise = </w:t>
      </w:r>
      <w:r w:rsidR="00250703" w:rsidRPr="00035DF8">
        <w:t>business unit or fund</w:t>
      </w:r>
      <w:r w:rsidR="00531D97">
        <w:t>,</w:t>
      </w:r>
      <w:r w:rsidR="00250703" w:rsidRPr="00035DF8">
        <w:t xml:space="preserve"> such as General Fund, Water, Wastewater, Electric, Gas, Stormwater, etc</w:t>
      </w:r>
      <w:r w:rsidR="00531D97">
        <w:t>.)</w:t>
      </w:r>
      <w:r w:rsidR="00250703" w:rsidRPr="00035DF8">
        <w:t xml:space="preserve"> </w:t>
      </w:r>
      <w:r w:rsidR="00437867">
        <w:t xml:space="preserve">is given </w:t>
      </w:r>
      <w:r w:rsidR="00250703" w:rsidRPr="00035DF8">
        <w:t>a bonus or raise</w:t>
      </w:r>
      <w:r w:rsidR="00BB1218">
        <w:t xml:space="preserve"> that is</w:t>
      </w:r>
      <w:r w:rsidR="00250703" w:rsidRPr="00035DF8">
        <w:t xml:space="preserve"> tied to the </w:t>
      </w:r>
      <w:r w:rsidR="00FF6FB4">
        <w:t>financial</w:t>
      </w:r>
      <w:r w:rsidR="00D4511D">
        <w:t xml:space="preserve"> </w:t>
      </w:r>
      <w:r w:rsidR="00250703" w:rsidRPr="00035DF8">
        <w:t>performance of the enterprise in which they work.</w:t>
      </w:r>
      <w:r w:rsidR="008479E8" w:rsidRPr="008479E8">
        <w:t xml:space="preserve"> </w:t>
      </w:r>
      <w:r w:rsidR="008479E8">
        <w:t xml:space="preserve"> </w:t>
      </w:r>
      <w:r w:rsidR="00E77D00">
        <w:t>EPIP can authorize financial performance bonuses or raises of up to 4% of pay, and an additional 2% for those who exceed expectations on their perso</w:t>
      </w:r>
      <w:r w:rsidR="0067636C">
        <w:t>nal</w:t>
      </w:r>
      <w:r w:rsidR="00E77D00">
        <w:t xml:space="preserve"> performance evaluations.</w:t>
      </w:r>
      <w:r w:rsidR="008479E8" w:rsidRPr="00035DF8">
        <w:t xml:space="preserve">   </w:t>
      </w:r>
    </w:p>
    <w:p w:rsidR="00AE7734" w:rsidRDefault="00250703" w:rsidP="00E31290">
      <w:pPr>
        <w:spacing w:line="480" w:lineRule="auto"/>
        <w:ind w:firstLine="720"/>
        <w:jc w:val="both"/>
      </w:pPr>
      <w:r w:rsidRPr="00035DF8">
        <w:t xml:space="preserve">Enterprise performance </w:t>
      </w:r>
      <w:r w:rsidR="00437867">
        <w:t>is e</w:t>
      </w:r>
      <w:r w:rsidRPr="00035DF8">
        <w:t xml:space="preserve">valuated </w:t>
      </w:r>
      <w:r w:rsidR="00437867">
        <w:t>annually</w:t>
      </w:r>
      <w:r w:rsidR="002D4D34">
        <w:t xml:space="preserve"> by the City Manager and the City Finance Director</w:t>
      </w:r>
      <w:r w:rsidR="00437867">
        <w:t xml:space="preserve"> </w:t>
      </w:r>
      <w:r w:rsidRPr="00035DF8">
        <w:t>u</w:t>
      </w:r>
      <w:r w:rsidR="002D4D34">
        <w:t>s</w:t>
      </w:r>
      <w:r w:rsidRPr="00035DF8">
        <w:t xml:space="preserve">ing adopted methodologies (“Enterprise Financial Performance </w:t>
      </w:r>
      <w:r w:rsidR="00B10F01">
        <w:t>Evaluations</w:t>
      </w:r>
      <w:r w:rsidRPr="00035DF8">
        <w:t>”)</w:t>
      </w:r>
      <w:r w:rsidR="002D4D34">
        <w:t xml:space="preserve"> that are </w:t>
      </w:r>
      <w:r w:rsidR="00FF23EA">
        <w:t xml:space="preserve">intended to </w:t>
      </w:r>
      <w:r w:rsidR="001C0F8A">
        <w:t>analyze</w:t>
      </w:r>
      <w:r w:rsidR="00437867">
        <w:t xml:space="preserve"> each enterprise’s financial health using </w:t>
      </w:r>
      <w:r w:rsidR="00FF6FB4">
        <w:t>the unaudited 4</w:t>
      </w:r>
      <w:r w:rsidR="00FF6FB4" w:rsidRPr="00FF6FB4">
        <w:rPr>
          <w:vertAlign w:val="superscript"/>
        </w:rPr>
        <w:t>th</w:t>
      </w:r>
      <w:r w:rsidR="00FF6FB4">
        <w:t xml:space="preserve"> quarter financial report</w:t>
      </w:r>
      <w:r w:rsidR="00B10F01">
        <w:t>s</w:t>
      </w:r>
      <w:r w:rsidR="00FF6FB4">
        <w:t xml:space="preserve">.  </w:t>
      </w:r>
      <w:r w:rsidRPr="00035DF8">
        <w:t xml:space="preserve">The process is flexible enough to </w:t>
      </w:r>
      <w:r w:rsidR="00E31290">
        <w:t xml:space="preserve">take into account any </w:t>
      </w:r>
      <w:r w:rsidRPr="00035DF8">
        <w:t xml:space="preserve">anomalies </w:t>
      </w:r>
      <w:r w:rsidR="00F50E58">
        <w:t>in</w:t>
      </w:r>
      <w:r w:rsidRPr="00035DF8">
        <w:t xml:space="preserve"> </w:t>
      </w:r>
      <w:r w:rsidR="00E31290">
        <w:t xml:space="preserve">past </w:t>
      </w:r>
      <w:r w:rsidRPr="00035DF8">
        <w:t>financial performance, known threats to future performance, other conditions that could affect the desirability of providing financi</w:t>
      </w:r>
      <w:r w:rsidR="00912C1A">
        <w:t>al incentives</w:t>
      </w:r>
      <w:r w:rsidR="00F50E58">
        <w:t xml:space="preserve">, and it is sensitive to the potential to abuse the system by not investing in proper renewal and </w:t>
      </w:r>
      <w:r w:rsidR="00B10F01">
        <w:t>replacement.</w:t>
      </w:r>
      <w:r w:rsidR="00912C1A">
        <w:t xml:space="preserve">  T</w:t>
      </w:r>
      <w:r w:rsidRPr="00035DF8">
        <w:t>he results of this test determin</w:t>
      </w:r>
      <w:r w:rsidR="00912C1A">
        <w:t>e</w:t>
      </w:r>
      <w:r w:rsidRPr="00035DF8">
        <w:t xml:space="preserve"> </w:t>
      </w:r>
      <w:r w:rsidR="00464652">
        <w:t xml:space="preserve">the </w:t>
      </w:r>
      <w:r w:rsidR="00FF6FB4">
        <w:t>incentives that will be given to the employees</w:t>
      </w:r>
      <w:r w:rsidR="00B10F01">
        <w:t xml:space="preserve">, and are based largely upon the status of cash reserves and any contribution to </w:t>
      </w:r>
      <w:r w:rsidR="00067C9D">
        <w:t>unrestricted cash</w:t>
      </w:r>
      <w:r w:rsidR="00B10F01">
        <w:t xml:space="preserve"> </w:t>
      </w:r>
      <w:r w:rsidR="00067C9D">
        <w:t>in</w:t>
      </w:r>
      <w:r w:rsidR="00B10F01">
        <w:t xml:space="preserve"> the prior fiscal year.</w:t>
      </w:r>
      <w:r w:rsidR="00AE7734">
        <w:t xml:space="preserve">  </w:t>
      </w:r>
      <w:r w:rsidR="00912C1A">
        <w:t xml:space="preserve">Exhibits “A” and “B” included at the end of this narrative outline the various steps used in conducting the Enterprise Financial Performance </w:t>
      </w:r>
      <w:r w:rsidR="00B10F01">
        <w:t>Evaluation</w:t>
      </w:r>
      <w:r w:rsidR="00912C1A">
        <w:t>.</w:t>
      </w:r>
    </w:p>
    <w:p w:rsidR="00250703" w:rsidRPr="00035DF8" w:rsidRDefault="00464652" w:rsidP="007741AC">
      <w:pPr>
        <w:spacing w:line="480" w:lineRule="auto"/>
        <w:ind w:firstLine="720"/>
        <w:jc w:val="both"/>
      </w:pPr>
      <w:r w:rsidRPr="00035DF8">
        <w:lastRenderedPageBreak/>
        <w:t>Th</w:t>
      </w:r>
      <w:r>
        <w:t>e</w:t>
      </w:r>
      <w:r w:rsidRPr="00035DF8">
        <w:t xml:space="preserve"> amount </w:t>
      </w:r>
      <w:r>
        <w:t>of funding that is available for incentives is</w:t>
      </w:r>
      <w:r w:rsidRPr="00035DF8">
        <w:t xml:space="preserve"> </w:t>
      </w:r>
      <w:r>
        <w:t>referred to</w:t>
      </w:r>
      <w:r w:rsidRPr="00035DF8">
        <w:t xml:space="preserve"> as the </w:t>
      </w:r>
      <w:r w:rsidRPr="00464652">
        <w:t>P</w:t>
      </w:r>
      <w:r w:rsidRPr="00035DF8">
        <w:t xml:space="preserve">otential Bonus/Raise, or “PBR”.  Depending on </w:t>
      </w:r>
      <w:r>
        <w:t xml:space="preserve">an enterprise’s </w:t>
      </w:r>
      <w:r w:rsidRPr="00035DF8">
        <w:t xml:space="preserve">performance, the PBR </w:t>
      </w:r>
      <w:r w:rsidR="00BB1218">
        <w:t>may</w:t>
      </w:r>
      <w:r w:rsidRPr="00035DF8">
        <w:t xml:space="preserve"> be distributed either as bonuses or raises. </w:t>
      </w:r>
      <w:r w:rsidR="00BB1218">
        <w:t xml:space="preserve"> </w:t>
      </w:r>
      <w:r w:rsidRPr="00035DF8">
        <w:t xml:space="preserve">Raises </w:t>
      </w:r>
      <w:r w:rsidR="00BB1218">
        <w:t>will be</w:t>
      </w:r>
      <w:r w:rsidRPr="00035DF8">
        <w:t xml:space="preserve"> given </w:t>
      </w:r>
      <w:r w:rsidRPr="00BB1218">
        <w:rPr>
          <w:u w:val="single"/>
        </w:rPr>
        <w:t>only</w:t>
      </w:r>
      <w:r w:rsidRPr="00035DF8">
        <w:t xml:space="preserve"> if the </w:t>
      </w:r>
      <w:r w:rsidR="00BB1218">
        <w:t xml:space="preserve">enterprise’s financial </w:t>
      </w:r>
      <w:r w:rsidRPr="00035DF8">
        <w:t>performance appears to be sustainable</w:t>
      </w:r>
      <w:r w:rsidR="00BB1218">
        <w:t xml:space="preserve"> </w:t>
      </w:r>
      <w:r w:rsidR="00BB1218" w:rsidRPr="00035DF8">
        <w:t xml:space="preserve">(as demonstrated </w:t>
      </w:r>
      <w:r w:rsidR="00BB1218">
        <w:t>by</w:t>
      </w:r>
      <w:r w:rsidR="00BB1218" w:rsidRPr="00035DF8">
        <w:t xml:space="preserve"> the analysis)</w:t>
      </w:r>
      <w:r w:rsidRPr="00035DF8">
        <w:t>.</w:t>
      </w:r>
      <w:r w:rsidR="00BB1218" w:rsidRPr="00BB1218">
        <w:t xml:space="preserve"> </w:t>
      </w:r>
      <w:r w:rsidR="00BB1218">
        <w:t xml:space="preserve"> </w:t>
      </w:r>
      <w:r w:rsidR="00BB1218" w:rsidRPr="00035DF8">
        <w:t>This help</w:t>
      </w:r>
      <w:r w:rsidR="00BB1218">
        <w:t>s</w:t>
      </w:r>
      <w:r w:rsidR="00BB1218" w:rsidRPr="00035DF8">
        <w:t xml:space="preserve"> </w:t>
      </w:r>
      <w:r w:rsidR="00BB1218">
        <w:t xml:space="preserve">the City </w:t>
      </w:r>
      <w:r w:rsidR="00BB1218" w:rsidRPr="00035DF8">
        <w:t xml:space="preserve">to </w:t>
      </w:r>
      <w:r w:rsidR="00BB1218">
        <w:t>avoid</w:t>
      </w:r>
      <w:r w:rsidR="00BB1218" w:rsidRPr="00035DF8">
        <w:t xml:space="preserve"> the adverse impact of recurring expenses when sustainability is not assured.</w:t>
      </w:r>
      <w:r w:rsidR="00BB1218">
        <w:t xml:space="preserve">  </w:t>
      </w:r>
      <w:r w:rsidR="000B7A89">
        <w:t>While t</w:t>
      </w:r>
      <w:r w:rsidR="00250703" w:rsidRPr="00035DF8">
        <w:t xml:space="preserve">he amount of funding available </w:t>
      </w:r>
      <w:r w:rsidR="000B7A89">
        <w:t xml:space="preserve">to use for incentives </w:t>
      </w:r>
      <w:r w:rsidR="00250703" w:rsidRPr="00035DF8">
        <w:t xml:space="preserve">is a function of financial performance, </w:t>
      </w:r>
      <w:r w:rsidR="000B7A89">
        <w:t xml:space="preserve">EPIP </w:t>
      </w:r>
      <w:r w:rsidR="00FF6FB4">
        <w:t>caps</w:t>
      </w:r>
      <w:r w:rsidR="007741AC">
        <w:t xml:space="preserve"> </w:t>
      </w:r>
      <w:r w:rsidR="00FF6FB4">
        <w:t xml:space="preserve">the amount </w:t>
      </w:r>
      <w:r>
        <w:t xml:space="preserve">that can be </w:t>
      </w:r>
      <w:r w:rsidR="000B7A89">
        <w:t xml:space="preserve">given in </w:t>
      </w:r>
      <w:r>
        <w:t>any</w:t>
      </w:r>
      <w:r w:rsidR="000B7A89">
        <w:t xml:space="preserve"> enterprise </w:t>
      </w:r>
      <w:r>
        <w:t>to</w:t>
      </w:r>
      <w:r w:rsidR="007741AC">
        <w:t xml:space="preserve"> no more than</w:t>
      </w:r>
      <w:r w:rsidR="000B7A89">
        <w:t xml:space="preserve"> </w:t>
      </w:r>
      <w:r>
        <w:t>7</w:t>
      </w:r>
      <w:r w:rsidR="007741AC">
        <w:t xml:space="preserve">% of payroll. </w:t>
      </w:r>
      <w:r w:rsidR="001C0F8A">
        <w:t>F</w:t>
      </w:r>
      <w:r w:rsidR="002E4EA5">
        <w:t>inal</w:t>
      </w:r>
      <w:r w:rsidR="00250703" w:rsidRPr="00035DF8">
        <w:t xml:space="preserve">ly, </w:t>
      </w:r>
      <w:r w:rsidR="00B10F01">
        <w:t xml:space="preserve">while the applicability of EPIP is </w:t>
      </w:r>
      <w:r w:rsidR="00250703" w:rsidRPr="00035DF8">
        <w:t>subject to bargaining</w:t>
      </w:r>
      <w:r w:rsidR="00B10F01">
        <w:t xml:space="preserve"> for union employees, one of our two unions has already decided to embrace the program in their current contract</w:t>
      </w:r>
      <w:r w:rsidR="00250703" w:rsidRPr="00035DF8">
        <w:t>.</w:t>
      </w:r>
    </w:p>
    <w:p w:rsidR="009903EE" w:rsidRDefault="007741AC" w:rsidP="00573267">
      <w:pPr>
        <w:spacing w:line="480" w:lineRule="auto"/>
        <w:jc w:val="both"/>
      </w:pPr>
      <w:r>
        <w:tab/>
      </w:r>
      <w:r w:rsidR="00573267">
        <w:t xml:space="preserve">EPIP is now in its second year of implementation.  </w:t>
      </w:r>
      <w:r w:rsidR="00F50E58">
        <w:t xml:space="preserve">For the first time in our city’s history, each employee has “skin in the game” when it comes to </w:t>
      </w:r>
      <w:r w:rsidR="00B10F01">
        <w:t xml:space="preserve">the organization’s </w:t>
      </w:r>
      <w:r w:rsidR="00F50E58">
        <w:t xml:space="preserve">financial performance.  </w:t>
      </w:r>
      <w:r w:rsidR="00573267" w:rsidRPr="00573267">
        <w:t>The results of th</w:t>
      </w:r>
      <w:r w:rsidR="00573267">
        <w:t xml:space="preserve">e most recent </w:t>
      </w:r>
      <w:r w:rsidR="00573267" w:rsidRPr="00573267">
        <w:t xml:space="preserve">year’s evaluations </w:t>
      </w:r>
      <w:r w:rsidR="00851B83">
        <w:t xml:space="preserve">continue to validate that the program </w:t>
      </w:r>
      <w:r w:rsidR="00573267" w:rsidRPr="00573267">
        <w:t>is working</w:t>
      </w:r>
      <w:r w:rsidR="00851B83">
        <w:t xml:space="preserve"> as intended</w:t>
      </w:r>
      <w:r w:rsidR="00573267" w:rsidRPr="00573267">
        <w:t xml:space="preserve">. </w:t>
      </w:r>
      <w:r w:rsidR="00336414">
        <w:t xml:space="preserve"> </w:t>
      </w:r>
      <w:r w:rsidR="00573267" w:rsidRPr="00573267">
        <w:t xml:space="preserve"> Employees are</w:t>
      </w:r>
      <w:r w:rsidR="00511214">
        <w:t xml:space="preserve"> </w:t>
      </w:r>
      <w:r w:rsidR="00573267" w:rsidRPr="00573267">
        <w:t xml:space="preserve">more </w:t>
      </w:r>
      <w:r w:rsidR="00511214">
        <w:t xml:space="preserve">actively </w:t>
      </w:r>
      <w:r w:rsidR="00573267" w:rsidRPr="00573267">
        <w:t xml:space="preserve">engaged in searching out </w:t>
      </w:r>
      <w:r w:rsidR="00511214">
        <w:t xml:space="preserve">and identifying </w:t>
      </w:r>
      <w:r w:rsidR="00573267" w:rsidRPr="00573267">
        <w:t xml:space="preserve">new efficiencies and alternative methods of service delivery, </w:t>
      </w:r>
      <w:r w:rsidR="00511214">
        <w:t>with the results</w:t>
      </w:r>
      <w:r w:rsidR="00573267" w:rsidRPr="00573267">
        <w:t xml:space="preserve"> demonstrated </w:t>
      </w:r>
      <w:r w:rsidR="00B10F01">
        <w:t>by</w:t>
      </w:r>
      <w:r w:rsidR="00573267" w:rsidRPr="00573267">
        <w:t xml:space="preserve"> </w:t>
      </w:r>
      <w:r w:rsidR="00851B83">
        <w:t>the City’s</w:t>
      </w:r>
      <w:r w:rsidR="00573267" w:rsidRPr="00573267">
        <w:t xml:space="preserve"> </w:t>
      </w:r>
      <w:r w:rsidR="00B10F01">
        <w:t xml:space="preserve">increasing </w:t>
      </w:r>
      <w:r w:rsidR="007B6EC5">
        <w:t>cash reserves</w:t>
      </w:r>
      <w:r w:rsidR="00851B83">
        <w:t xml:space="preserve"> and </w:t>
      </w:r>
      <w:r w:rsidR="00B10F01">
        <w:t>our highest-ever</w:t>
      </w:r>
      <w:r w:rsidR="007B6EC5">
        <w:t xml:space="preserve"> </w:t>
      </w:r>
      <w:r w:rsidR="00851B83">
        <w:t>bond ratings</w:t>
      </w:r>
      <w:r w:rsidR="00573267" w:rsidRPr="00573267">
        <w:t>. Barriers to future incentives now present a roadmap to success</w:t>
      </w:r>
      <w:r w:rsidR="004D6A4A">
        <w:t>, p</w:t>
      </w:r>
      <w:r w:rsidR="00573267" w:rsidRPr="00573267">
        <w:t>rovid</w:t>
      </w:r>
      <w:r w:rsidR="004D6A4A">
        <w:t>ing</w:t>
      </w:r>
      <w:r w:rsidR="00573267" w:rsidRPr="00573267">
        <w:t xml:space="preserve"> employees, management and the </w:t>
      </w:r>
      <w:r w:rsidR="00851B83">
        <w:t xml:space="preserve">City </w:t>
      </w:r>
      <w:r w:rsidR="00573267" w:rsidRPr="00573267">
        <w:t>Commission with knowledge of the challenges that lie ahead and the incentive to address them.</w:t>
      </w:r>
    </w:p>
    <w:p w:rsidR="00FF6FB4" w:rsidRDefault="00FF6FB4" w:rsidP="00573267">
      <w:pPr>
        <w:spacing w:line="480" w:lineRule="auto"/>
        <w:jc w:val="both"/>
      </w:pPr>
    </w:p>
    <w:p w:rsidR="00E77D00" w:rsidRDefault="00E77D00" w:rsidP="00573267">
      <w:pPr>
        <w:spacing w:line="480" w:lineRule="auto"/>
        <w:jc w:val="both"/>
      </w:pPr>
    </w:p>
    <w:p w:rsidR="00E77D00" w:rsidRDefault="00E77D00" w:rsidP="00573267">
      <w:pPr>
        <w:spacing w:line="480" w:lineRule="auto"/>
        <w:jc w:val="both"/>
      </w:pPr>
    </w:p>
    <w:p w:rsidR="00FF6FB4" w:rsidRDefault="00FF6FB4" w:rsidP="00573267">
      <w:pPr>
        <w:spacing w:line="480" w:lineRule="auto"/>
        <w:jc w:val="both"/>
      </w:pPr>
    </w:p>
    <w:p w:rsidR="00851B83" w:rsidRDefault="00067C9D" w:rsidP="00851B83">
      <w:pPr>
        <w:jc w:val="center"/>
        <w:rPr>
          <w:b/>
        </w:rPr>
      </w:pPr>
      <w:r>
        <w:rPr>
          <w:b/>
        </w:rPr>
        <w:lastRenderedPageBreak/>
        <w:t>E</w:t>
      </w:r>
      <w:r w:rsidR="00851B83">
        <w:rPr>
          <w:b/>
        </w:rPr>
        <w:t>XHIBIT A</w:t>
      </w:r>
    </w:p>
    <w:p w:rsidR="00851B83" w:rsidRDefault="00851B83" w:rsidP="00851B83">
      <w:pPr>
        <w:jc w:val="center"/>
        <w:rPr>
          <w:b/>
        </w:rPr>
      </w:pPr>
    </w:p>
    <w:p w:rsidR="00851B83" w:rsidRDefault="00851B83" w:rsidP="00851B83">
      <w:pPr>
        <w:jc w:val="center"/>
        <w:rPr>
          <w:b/>
        </w:rPr>
      </w:pPr>
      <w:r w:rsidRPr="00C82BA4">
        <w:rPr>
          <w:b/>
        </w:rPr>
        <w:t xml:space="preserve">Enterprise Performance Incentive Program </w:t>
      </w:r>
    </w:p>
    <w:p w:rsidR="00851B83" w:rsidRPr="00C82BA4" w:rsidRDefault="00851B83" w:rsidP="00851B83">
      <w:pPr>
        <w:jc w:val="center"/>
        <w:rPr>
          <w:b/>
        </w:rPr>
      </w:pPr>
    </w:p>
    <w:p w:rsidR="00851B83" w:rsidRPr="00C82BA4" w:rsidRDefault="00851B83" w:rsidP="00851B83">
      <w:pPr>
        <w:jc w:val="center"/>
        <w:rPr>
          <w:b/>
        </w:rPr>
      </w:pPr>
      <w:r w:rsidRPr="00C82BA4">
        <w:rPr>
          <w:b/>
        </w:rPr>
        <w:t>-</w:t>
      </w:r>
      <w:r>
        <w:rPr>
          <w:b/>
        </w:rPr>
        <w:t xml:space="preserve"> </w:t>
      </w:r>
      <w:r w:rsidRPr="00C82BA4">
        <w:rPr>
          <w:b/>
        </w:rPr>
        <w:t xml:space="preserve">General Fund Financial Performance Evaluation </w:t>
      </w:r>
      <w:r>
        <w:rPr>
          <w:b/>
        </w:rPr>
        <w:t>-</w:t>
      </w:r>
    </w:p>
    <w:p w:rsidR="00851B83" w:rsidRPr="00C82BA4" w:rsidRDefault="00851B83" w:rsidP="00851B83">
      <w:pPr>
        <w:pBdr>
          <w:bottom w:val="single" w:sz="4" w:space="0" w:color="auto"/>
        </w:pBdr>
        <w:jc w:val="center"/>
        <w:rPr>
          <w:b/>
        </w:rPr>
      </w:pPr>
    </w:p>
    <w:p w:rsidR="00851B83" w:rsidRDefault="00851B83" w:rsidP="00851B83">
      <w:pPr>
        <w:pStyle w:val="ListParagraph"/>
        <w:rPr>
          <w:rFonts w:ascii="Arial" w:hAnsi="Arial" w:cs="Arial"/>
          <w:sz w:val="24"/>
          <w:szCs w:val="24"/>
        </w:rPr>
      </w:pP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There has been no increase in the ad valorem millage rate</w:t>
      </w:r>
      <w:r>
        <w:rPr>
          <w:rFonts w:ascii="Arial" w:hAnsi="Arial" w:cs="Arial"/>
          <w:sz w:val="24"/>
          <w:szCs w:val="24"/>
        </w:rPr>
        <w:t>:</w:t>
      </w:r>
    </w:p>
    <w:p w:rsidR="00851B83" w:rsidRPr="00C82BA4" w:rsidRDefault="00851B83" w:rsidP="00851B83">
      <w:pPr>
        <w:pStyle w:val="ListParagraph"/>
        <w:numPr>
          <w:ilvl w:val="1"/>
          <w:numId w:val="3"/>
        </w:numPr>
        <w:rPr>
          <w:rFonts w:ascii="Arial" w:hAnsi="Arial" w:cs="Arial"/>
          <w:sz w:val="24"/>
          <w:szCs w:val="24"/>
        </w:rPr>
      </w:pPr>
      <w:r w:rsidRPr="00C82BA4">
        <w:rPr>
          <w:rFonts w:ascii="Arial" w:hAnsi="Arial" w:cs="Arial"/>
          <w:sz w:val="24"/>
          <w:szCs w:val="24"/>
        </w:rPr>
        <w:t>If no millage rate increase, proceed to #2.</w:t>
      </w:r>
    </w:p>
    <w:p w:rsidR="00851B83" w:rsidRPr="00C82BA4" w:rsidRDefault="00851B83" w:rsidP="00851B83">
      <w:pPr>
        <w:pStyle w:val="ListParagraph"/>
        <w:numPr>
          <w:ilvl w:val="1"/>
          <w:numId w:val="3"/>
        </w:numPr>
        <w:rPr>
          <w:rFonts w:ascii="Arial" w:hAnsi="Arial" w:cs="Arial"/>
          <w:sz w:val="24"/>
          <w:szCs w:val="24"/>
        </w:rPr>
      </w:pPr>
      <w:r w:rsidRPr="00C82BA4">
        <w:rPr>
          <w:rFonts w:ascii="Arial" w:hAnsi="Arial" w:cs="Arial"/>
          <w:sz w:val="24"/>
          <w:szCs w:val="24"/>
        </w:rPr>
        <w:t>If yes, City Commission to evaluate the cause of the rate increase to determine if the performance incentive should be withheld or reduced.</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Fund must have positive financial performance</w:t>
      </w:r>
      <w:r>
        <w:rPr>
          <w:rFonts w:ascii="Arial" w:hAnsi="Arial" w:cs="Arial"/>
          <w:sz w:val="24"/>
          <w:szCs w:val="24"/>
        </w:rPr>
        <w:t>:</w:t>
      </w:r>
    </w:p>
    <w:p w:rsidR="00851B83" w:rsidRPr="00C82BA4" w:rsidRDefault="00851B83" w:rsidP="00851B83">
      <w:pPr>
        <w:pStyle w:val="ListParagraph"/>
        <w:numPr>
          <w:ilvl w:val="1"/>
          <w:numId w:val="3"/>
        </w:numPr>
        <w:rPr>
          <w:rFonts w:ascii="Arial" w:hAnsi="Arial" w:cs="Arial"/>
          <w:sz w:val="24"/>
          <w:szCs w:val="24"/>
        </w:rPr>
      </w:pPr>
      <w:r w:rsidRPr="00C82BA4">
        <w:rPr>
          <w:rFonts w:ascii="Arial" w:hAnsi="Arial" w:cs="Arial"/>
          <w:sz w:val="24"/>
          <w:szCs w:val="24"/>
        </w:rPr>
        <w:t>As demonstrated in prior year audited financials</w:t>
      </w:r>
      <w:r>
        <w:rPr>
          <w:rFonts w:ascii="Arial" w:hAnsi="Arial" w:cs="Arial"/>
          <w:sz w:val="24"/>
          <w:szCs w:val="24"/>
        </w:rPr>
        <w:t>.</w:t>
      </w:r>
    </w:p>
    <w:p w:rsidR="00851B83" w:rsidRPr="00C82BA4" w:rsidRDefault="00851B83" w:rsidP="00851B83">
      <w:pPr>
        <w:pStyle w:val="ListParagraph"/>
        <w:numPr>
          <w:ilvl w:val="1"/>
          <w:numId w:val="3"/>
        </w:numPr>
        <w:ind w:right="-270"/>
        <w:rPr>
          <w:rFonts w:ascii="Arial" w:hAnsi="Arial" w:cs="Arial"/>
          <w:sz w:val="24"/>
          <w:szCs w:val="24"/>
        </w:rPr>
      </w:pPr>
      <w:r w:rsidRPr="00C82BA4">
        <w:rPr>
          <w:rFonts w:ascii="Arial" w:hAnsi="Arial" w:cs="Arial"/>
          <w:sz w:val="24"/>
          <w:szCs w:val="24"/>
        </w:rPr>
        <w:t>As demonstrated through unaudited FYE financials</w:t>
      </w:r>
      <w:r>
        <w:rPr>
          <w:rFonts w:ascii="Arial" w:hAnsi="Arial" w:cs="Arial"/>
          <w:sz w:val="24"/>
          <w:szCs w:val="24"/>
        </w:rPr>
        <w:t>.</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Fund must be compliant with the Cash Reserve Requirement</w:t>
      </w:r>
      <w:r>
        <w:rPr>
          <w:rFonts w:ascii="Arial" w:hAnsi="Arial" w:cs="Arial"/>
          <w:sz w:val="24"/>
          <w:szCs w:val="24"/>
        </w:rPr>
        <w:t>.</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Fund must pass City Manager / Finance Director evaluation of known financial anomalies and future threats, as well as scrutiny of capital spending, to ensure infrastructure and equipment are being properly funded.  Analysis narrative and findings to be provided.</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If unrestricted cash is greater than 150% of cash reserve requirement, the amount over the requirement is eligible for distribution as bonuses or raises; maximum is limited to 7% of payroll; this amount is referred to as the Potential Bonus/Raise, or “PBR”</w:t>
      </w:r>
      <w:r>
        <w:rPr>
          <w:rFonts w:ascii="Arial" w:hAnsi="Arial" w:cs="Arial"/>
          <w:sz w:val="24"/>
          <w:szCs w:val="24"/>
        </w:rPr>
        <w:t>.</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 xml:space="preserve">If unrestricted cash is less than 150% of the cash reserve requirement, then the prior year contribution to unrestricted cash will be used to calculate the PBR.  Up to 10% of the prior year contribution to unrestricted cash is eligible for bonuses or raises; maximum is limited to 7% of payroll; this amount will be the “PBR”. </w:t>
      </w:r>
      <w:r w:rsidRPr="00C82BA4">
        <w:rPr>
          <w:rFonts w:ascii="Arial" w:hAnsi="Arial" w:cs="Arial"/>
          <w:sz w:val="24"/>
          <w:szCs w:val="24"/>
          <w:vertAlign w:val="superscript"/>
        </w:rPr>
        <w:t>1</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If PBR &lt; 5% of payroll, then PBR is distributed as bonuses</w:t>
      </w:r>
      <w:r>
        <w:rPr>
          <w:rFonts w:ascii="Arial" w:hAnsi="Arial" w:cs="Arial"/>
          <w:sz w:val="24"/>
          <w:szCs w:val="24"/>
        </w:rPr>
        <w:t>.</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If PBR &gt; 5% of payroll, then PBR is distributed as raises (bonuses for topped-out employees)</w:t>
      </w:r>
      <w:r>
        <w:rPr>
          <w:rFonts w:ascii="Arial" w:hAnsi="Arial" w:cs="Arial"/>
          <w:sz w:val="24"/>
          <w:szCs w:val="24"/>
        </w:rPr>
        <w:t>.</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Anticipated future financial performance must accommodate PBR</w:t>
      </w:r>
      <w:r>
        <w:rPr>
          <w:rFonts w:ascii="Arial" w:hAnsi="Arial" w:cs="Arial"/>
          <w:sz w:val="24"/>
          <w:szCs w:val="24"/>
        </w:rPr>
        <w:t>.</w:t>
      </w:r>
    </w:p>
    <w:p w:rsidR="00851B83" w:rsidRPr="00C82BA4" w:rsidRDefault="00851B83" w:rsidP="00851B83">
      <w:pPr>
        <w:pStyle w:val="ListParagraph"/>
        <w:numPr>
          <w:ilvl w:val="0"/>
          <w:numId w:val="3"/>
        </w:numPr>
        <w:ind w:hanging="450"/>
        <w:rPr>
          <w:rFonts w:ascii="Arial" w:hAnsi="Arial" w:cs="Arial"/>
          <w:sz w:val="24"/>
          <w:szCs w:val="24"/>
        </w:rPr>
      </w:pPr>
      <w:r w:rsidRPr="00C82BA4">
        <w:rPr>
          <w:rFonts w:ascii="Arial" w:hAnsi="Arial" w:cs="Arial"/>
          <w:sz w:val="24"/>
          <w:szCs w:val="24"/>
        </w:rPr>
        <w:t xml:space="preserve">The impact of cost-allocation on the financial health of the utilities must be evaluated and reported.  PBR cost allocation from General Fund cannot cause non-compliance with financial policies in the utilities. </w:t>
      </w:r>
    </w:p>
    <w:p w:rsidR="00851B83" w:rsidRPr="00C82BA4" w:rsidRDefault="00851B83" w:rsidP="00851B83">
      <w:pPr>
        <w:pStyle w:val="ListParagraph"/>
        <w:pBdr>
          <w:bottom w:val="single" w:sz="4" w:space="1" w:color="auto"/>
        </w:pBdr>
        <w:ind w:left="0"/>
        <w:rPr>
          <w:rFonts w:ascii="Arial" w:hAnsi="Arial" w:cs="Arial"/>
          <w:b/>
          <w:sz w:val="24"/>
          <w:szCs w:val="24"/>
        </w:rPr>
      </w:pPr>
    </w:p>
    <w:p w:rsidR="00851B83" w:rsidRPr="002D7D7B" w:rsidRDefault="00851B83" w:rsidP="00851B83">
      <w:pPr>
        <w:ind w:left="540" w:hanging="180"/>
        <w:rPr>
          <w:sz w:val="28"/>
          <w:szCs w:val="28"/>
        </w:rPr>
      </w:pPr>
      <w:r>
        <w:rPr>
          <w:sz w:val="20"/>
          <w:vertAlign w:val="superscript"/>
        </w:rPr>
        <w:t xml:space="preserve">1  </w:t>
      </w:r>
      <w:r>
        <w:rPr>
          <w:sz w:val="20"/>
        </w:rPr>
        <w:t>If the amount of unrestricted cash was lowered in the past year due to Special Transfers, the amount of the special transfer will be added to the amount of unrestricted cash for the purpose of these calculations.</w:t>
      </w:r>
      <w:r>
        <w:rPr>
          <w:sz w:val="28"/>
          <w:szCs w:val="28"/>
        </w:rPr>
        <w:t xml:space="preserve"> </w:t>
      </w:r>
    </w:p>
    <w:p w:rsidR="00851B83" w:rsidRDefault="00851B83">
      <w:pPr>
        <w:spacing w:after="200" w:line="276" w:lineRule="auto"/>
        <w:rPr>
          <w:b/>
        </w:rPr>
      </w:pPr>
      <w:r>
        <w:rPr>
          <w:b/>
        </w:rPr>
        <w:br w:type="page"/>
      </w:r>
    </w:p>
    <w:p w:rsidR="00F50E58" w:rsidRPr="007B6EC5" w:rsidRDefault="00F50E58" w:rsidP="00F50E58">
      <w:r w:rsidRPr="007B6EC5">
        <w:lastRenderedPageBreak/>
        <w:t xml:space="preserve">[Note: this evaluation is conducted </w:t>
      </w:r>
      <w:r w:rsidR="007B6EC5">
        <w:t xml:space="preserve">separately </w:t>
      </w:r>
      <w:r w:rsidRPr="007B6EC5">
        <w:t xml:space="preserve">for each of the City’s </w:t>
      </w:r>
      <w:r w:rsidR="007B6EC5" w:rsidRPr="007B6EC5">
        <w:t>utility funds]</w:t>
      </w:r>
    </w:p>
    <w:p w:rsidR="007B6EC5" w:rsidRDefault="007B6EC5" w:rsidP="00F50E58">
      <w:pPr>
        <w:rPr>
          <w:b/>
        </w:rPr>
      </w:pPr>
    </w:p>
    <w:p w:rsidR="00F50E58" w:rsidRDefault="00F50E58" w:rsidP="002D7D7B">
      <w:pPr>
        <w:jc w:val="center"/>
        <w:rPr>
          <w:b/>
        </w:rPr>
      </w:pPr>
    </w:p>
    <w:p w:rsidR="00AA7E4B" w:rsidRDefault="00851B83" w:rsidP="002D7D7B">
      <w:pPr>
        <w:jc w:val="center"/>
        <w:rPr>
          <w:b/>
        </w:rPr>
      </w:pPr>
      <w:r>
        <w:rPr>
          <w:b/>
        </w:rPr>
        <w:t>EXHIBIT B</w:t>
      </w:r>
    </w:p>
    <w:p w:rsidR="00AA7E4B" w:rsidRDefault="00AA7E4B" w:rsidP="002D7D7B">
      <w:pPr>
        <w:jc w:val="center"/>
        <w:rPr>
          <w:b/>
        </w:rPr>
      </w:pPr>
    </w:p>
    <w:p w:rsidR="00C82BA4" w:rsidRDefault="002D7D7B" w:rsidP="002D7D7B">
      <w:pPr>
        <w:jc w:val="center"/>
        <w:rPr>
          <w:b/>
        </w:rPr>
      </w:pPr>
      <w:r w:rsidRPr="002D7D7B">
        <w:rPr>
          <w:b/>
        </w:rPr>
        <w:t>Enterprise Performance Incentive Program</w:t>
      </w:r>
    </w:p>
    <w:p w:rsidR="002D7D7B" w:rsidRPr="002D7D7B" w:rsidRDefault="002D7D7B" w:rsidP="002D7D7B">
      <w:pPr>
        <w:jc w:val="center"/>
        <w:rPr>
          <w:b/>
        </w:rPr>
      </w:pPr>
      <w:r w:rsidRPr="002D7D7B">
        <w:rPr>
          <w:b/>
        </w:rPr>
        <w:t xml:space="preserve"> </w:t>
      </w:r>
    </w:p>
    <w:p w:rsidR="002D7D7B" w:rsidRPr="00C82BA4" w:rsidRDefault="00C82BA4" w:rsidP="00C82BA4">
      <w:pPr>
        <w:jc w:val="center"/>
        <w:rPr>
          <w:b/>
        </w:rPr>
      </w:pPr>
      <w:r w:rsidRPr="00C82BA4">
        <w:rPr>
          <w:b/>
        </w:rPr>
        <w:t>-</w:t>
      </w:r>
      <w:r>
        <w:rPr>
          <w:b/>
        </w:rPr>
        <w:t xml:space="preserve"> </w:t>
      </w:r>
      <w:r w:rsidR="002D7D7B" w:rsidRPr="00C82BA4">
        <w:rPr>
          <w:b/>
        </w:rPr>
        <w:t xml:space="preserve">Utilities Financial Performance Evaluation </w:t>
      </w:r>
      <w:r>
        <w:rPr>
          <w:b/>
        </w:rPr>
        <w:t>-</w:t>
      </w:r>
    </w:p>
    <w:p w:rsidR="002D7D7B" w:rsidRPr="00C82BA4" w:rsidRDefault="002D7D7B" w:rsidP="002D7D7B">
      <w:pPr>
        <w:pBdr>
          <w:bottom w:val="single" w:sz="4" w:space="1" w:color="auto"/>
        </w:pBdr>
        <w:jc w:val="center"/>
        <w:rPr>
          <w:b/>
        </w:rPr>
      </w:pPr>
    </w:p>
    <w:p w:rsidR="002D7D7B" w:rsidRPr="00C82BA4" w:rsidRDefault="002D7D7B" w:rsidP="002D7D7B">
      <w:pPr>
        <w:jc w:val="center"/>
        <w:rPr>
          <w:b/>
        </w:rPr>
      </w:pP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There has been no base rate increase in the current fiscal year (BPCA and indexed increases excluded)</w:t>
      </w:r>
      <w:r w:rsidR="00C82BA4">
        <w:rPr>
          <w:rFonts w:ascii="Arial" w:hAnsi="Arial" w:cs="Arial"/>
          <w:sz w:val="24"/>
          <w:szCs w:val="24"/>
        </w:rPr>
        <w:t>:</w:t>
      </w:r>
    </w:p>
    <w:p w:rsidR="002D7D7B" w:rsidRPr="00C82BA4" w:rsidRDefault="002D7D7B" w:rsidP="002D7D7B">
      <w:pPr>
        <w:pStyle w:val="ListParagraph"/>
        <w:numPr>
          <w:ilvl w:val="1"/>
          <w:numId w:val="1"/>
        </w:numPr>
        <w:rPr>
          <w:rFonts w:ascii="Arial" w:hAnsi="Arial" w:cs="Arial"/>
          <w:sz w:val="24"/>
          <w:szCs w:val="24"/>
        </w:rPr>
      </w:pPr>
      <w:r w:rsidRPr="00C82BA4">
        <w:rPr>
          <w:rFonts w:ascii="Arial" w:hAnsi="Arial" w:cs="Arial"/>
          <w:sz w:val="24"/>
          <w:szCs w:val="24"/>
        </w:rPr>
        <w:t>If no base rate increase, proceed to #2.</w:t>
      </w:r>
    </w:p>
    <w:p w:rsidR="002D7D7B" w:rsidRPr="00C82BA4" w:rsidRDefault="002D7D7B" w:rsidP="002D7D7B">
      <w:pPr>
        <w:pStyle w:val="ListParagraph"/>
        <w:numPr>
          <w:ilvl w:val="1"/>
          <w:numId w:val="1"/>
        </w:numPr>
        <w:rPr>
          <w:rFonts w:ascii="Arial" w:hAnsi="Arial" w:cs="Arial"/>
          <w:sz w:val="24"/>
          <w:szCs w:val="24"/>
        </w:rPr>
      </w:pPr>
      <w:r w:rsidRPr="00C82BA4">
        <w:rPr>
          <w:rFonts w:ascii="Arial" w:hAnsi="Arial" w:cs="Arial"/>
          <w:sz w:val="24"/>
          <w:szCs w:val="24"/>
        </w:rPr>
        <w:t>If yes, City Commission to evaluate the cause of the rate increase to see if bonuses or raises should be withheld or limited.</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Fund must have positive financial performance</w:t>
      </w:r>
      <w:r w:rsidR="00C82BA4">
        <w:rPr>
          <w:rFonts w:ascii="Arial" w:hAnsi="Arial" w:cs="Arial"/>
          <w:sz w:val="24"/>
          <w:szCs w:val="24"/>
        </w:rPr>
        <w:t>:</w:t>
      </w:r>
    </w:p>
    <w:p w:rsidR="002D7D7B" w:rsidRPr="00C82BA4" w:rsidRDefault="002D7D7B" w:rsidP="002D7D7B">
      <w:pPr>
        <w:pStyle w:val="ListParagraph"/>
        <w:numPr>
          <w:ilvl w:val="1"/>
          <w:numId w:val="1"/>
        </w:numPr>
        <w:rPr>
          <w:rFonts w:ascii="Arial" w:hAnsi="Arial" w:cs="Arial"/>
          <w:sz w:val="24"/>
          <w:szCs w:val="24"/>
        </w:rPr>
      </w:pPr>
      <w:r w:rsidRPr="00C82BA4">
        <w:rPr>
          <w:rFonts w:ascii="Arial" w:hAnsi="Arial" w:cs="Arial"/>
          <w:sz w:val="24"/>
          <w:szCs w:val="24"/>
        </w:rPr>
        <w:t>As demonstrated in prior year audited financials</w:t>
      </w:r>
      <w:r w:rsidR="00C82BA4">
        <w:rPr>
          <w:rFonts w:ascii="Arial" w:hAnsi="Arial" w:cs="Arial"/>
          <w:sz w:val="24"/>
          <w:szCs w:val="24"/>
        </w:rPr>
        <w:t>.</w:t>
      </w:r>
    </w:p>
    <w:p w:rsidR="002D7D7B" w:rsidRPr="00C82BA4" w:rsidRDefault="002D7D7B" w:rsidP="002D7D7B">
      <w:pPr>
        <w:pStyle w:val="ListParagraph"/>
        <w:numPr>
          <w:ilvl w:val="1"/>
          <w:numId w:val="1"/>
        </w:numPr>
        <w:ind w:right="-270"/>
        <w:rPr>
          <w:rFonts w:ascii="Arial" w:hAnsi="Arial" w:cs="Arial"/>
          <w:sz w:val="24"/>
          <w:szCs w:val="24"/>
        </w:rPr>
      </w:pPr>
      <w:r w:rsidRPr="00C82BA4">
        <w:rPr>
          <w:rFonts w:ascii="Arial" w:hAnsi="Arial" w:cs="Arial"/>
          <w:sz w:val="24"/>
          <w:szCs w:val="24"/>
        </w:rPr>
        <w:t>As demonstrated through unaudited FYE financials</w:t>
      </w:r>
      <w:r w:rsidR="00C82BA4">
        <w:rPr>
          <w:rFonts w:ascii="Arial" w:hAnsi="Arial" w:cs="Arial"/>
          <w:sz w:val="24"/>
          <w:szCs w:val="24"/>
        </w:rPr>
        <w:t>.</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Fund must be compliant with the Cash Reserve Requirement</w:t>
      </w:r>
      <w:r w:rsidR="00C82BA4">
        <w:rPr>
          <w:rFonts w:ascii="Arial" w:hAnsi="Arial" w:cs="Arial"/>
          <w:sz w:val="24"/>
          <w:szCs w:val="24"/>
        </w:rPr>
        <w:t>.</w:t>
      </w:r>
      <w:r w:rsidRPr="00C82BA4">
        <w:rPr>
          <w:rFonts w:ascii="Arial" w:hAnsi="Arial" w:cs="Arial"/>
          <w:sz w:val="24"/>
          <w:szCs w:val="24"/>
          <w:vertAlign w:val="superscript"/>
        </w:rPr>
        <w:t xml:space="preserve">2 </w:t>
      </w:r>
      <w:r w:rsidRPr="00C82BA4">
        <w:rPr>
          <w:rFonts w:ascii="Arial" w:hAnsi="Arial" w:cs="Arial"/>
          <w:sz w:val="24"/>
          <w:szCs w:val="24"/>
        </w:rPr>
        <w:t xml:space="preserve"> </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Fund must make required dividend contribution to General Fund</w:t>
      </w:r>
      <w:r w:rsidR="00C82BA4">
        <w:rPr>
          <w:rFonts w:ascii="Arial" w:hAnsi="Arial" w:cs="Arial"/>
          <w:sz w:val="24"/>
          <w:szCs w:val="24"/>
        </w:rPr>
        <w:t>.</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Fund must pass City Manager / Finance Director evaluation of known financial anomalies and future threats, as well as scrutiny of capital spending to ensure infrastructure and equipment are being properly funded.  Narrative analysis and findings to be provided.</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If unrestricted cash is greater than 150% of the cash reserve requirement, the amount over 150% is eligible for distribution as bonuses or raises; maximum is limited to 7% of payroll; this amount is referred to as the Potential Bonus/Raise, or “PBR”</w:t>
      </w:r>
      <w:r w:rsidR="00C82BA4">
        <w:rPr>
          <w:rFonts w:ascii="Arial" w:hAnsi="Arial" w:cs="Arial"/>
          <w:sz w:val="24"/>
          <w:szCs w:val="24"/>
        </w:rPr>
        <w:t>.</w:t>
      </w:r>
      <w:r w:rsidRPr="00C82BA4">
        <w:rPr>
          <w:rFonts w:ascii="Arial" w:hAnsi="Arial" w:cs="Arial"/>
          <w:sz w:val="24"/>
          <w:szCs w:val="24"/>
          <w:vertAlign w:val="superscript"/>
        </w:rPr>
        <w:t xml:space="preserve"> 2</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If unrestricted cash is less than 150% of the cash reserve requirement, then the prior year contribution to unrestricted cash will be used to calculate the PBR.  Up to 10% of the prior year contribution to unrestricted cash is eligible for bonuses or raises; maximum is limited to 7% of payroll</w:t>
      </w:r>
      <w:r w:rsidR="00C82BA4">
        <w:rPr>
          <w:rFonts w:ascii="Arial" w:hAnsi="Arial" w:cs="Arial"/>
          <w:sz w:val="24"/>
          <w:szCs w:val="24"/>
        </w:rPr>
        <w:t>; this amount will be the “PBR”.</w:t>
      </w:r>
      <w:r w:rsidRPr="00C82BA4">
        <w:rPr>
          <w:rFonts w:ascii="Arial" w:hAnsi="Arial" w:cs="Arial"/>
          <w:sz w:val="24"/>
          <w:szCs w:val="24"/>
        </w:rPr>
        <w:t xml:space="preserve">  </w:t>
      </w:r>
      <w:r w:rsidRPr="00C82BA4">
        <w:rPr>
          <w:rFonts w:ascii="Arial" w:hAnsi="Arial" w:cs="Arial"/>
          <w:sz w:val="24"/>
          <w:szCs w:val="24"/>
          <w:vertAlign w:val="superscript"/>
        </w:rPr>
        <w:t xml:space="preserve">1, 2 </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If PBR &lt; 5% of payroll, then PBR is distributed as bonuses</w:t>
      </w:r>
      <w:r w:rsidR="00C82BA4">
        <w:rPr>
          <w:rFonts w:ascii="Arial" w:hAnsi="Arial" w:cs="Arial"/>
          <w:sz w:val="24"/>
          <w:szCs w:val="24"/>
        </w:rPr>
        <w:t>.</w:t>
      </w:r>
      <w:r w:rsidRPr="00C82BA4">
        <w:rPr>
          <w:rFonts w:ascii="Arial" w:hAnsi="Arial" w:cs="Arial"/>
          <w:sz w:val="24"/>
          <w:szCs w:val="24"/>
        </w:rPr>
        <w:t xml:space="preserve"> </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If PBR &gt; 5% of payroll, then PBR is distributed as raises (bo</w:t>
      </w:r>
      <w:r w:rsidR="00C82BA4">
        <w:rPr>
          <w:rFonts w:ascii="Arial" w:hAnsi="Arial" w:cs="Arial"/>
          <w:sz w:val="24"/>
          <w:szCs w:val="24"/>
        </w:rPr>
        <w:t>nuses for topped-out employees).</w:t>
      </w:r>
    </w:p>
    <w:p w:rsidR="002D7D7B" w:rsidRPr="00C82BA4" w:rsidRDefault="002D7D7B" w:rsidP="002D7D7B">
      <w:pPr>
        <w:pStyle w:val="ListParagraph"/>
        <w:numPr>
          <w:ilvl w:val="0"/>
          <w:numId w:val="1"/>
        </w:numPr>
        <w:ind w:hanging="450"/>
        <w:rPr>
          <w:rFonts w:ascii="Arial" w:hAnsi="Arial" w:cs="Arial"/>
          <w:sz w:val="24"/>
          <w:szCs w:val="24"/>
        </w:rPr>
      </w:pPr>
      <w:r w:rsidRPr="00C82BA4">
        <w:rPr>
          <w:rFonts w:ascii="Arial" w:hAnsi="Arial" w:cs="Arial"/>
          <w:sz w:val="24"/>
          <w:szCs w:val="24"/>
        </w:rPr>
        <w:t>Anticipated financial performance must accommodate amount of PBR</w:t>
      </w:r>
      <w:r w:rsidR="00C82BA4">
        <w:rPr>
          <w:rFonts w:ascii="Arial" w:hAnsi="Arial" w:cs="Arial"/>
          <w:sz w:val="24"/>
          <w:szCs w:val="24"/>
        </w:rPr>
        <w:t>.</w:t>
      </w:r>
    </w:p>
    <w:p w:rsidR="002D7D7B" w:rsidRPr="00C82BA4" w:rsidRDefault="002D7D7B" w:rsidP="002D7D7B">
      <w:pPr>
        <w:pStyle w:val="ListParagraph"/>
        <w:pBdr>
          <w:bottom w:val="single" w:sz="4" w:space="1" w:color="auto"/>
        </w:pBdr>
        <w:ind w:left="0"/>
        <w:rPr>
          <w:rFonts w:ascii="Arial" w:hAnsi="Arial" w:cs="Arial"/>
          <w:b/>
          <w:sz w:val="24"/>
          <w:szCs w:val="24"/>
        </w:rPr>
      </w:pPr>
    </w:p>
    <w:p w:rsidR="002D7D7B" w:rsidRPr="00C82BA4" w:rsidRDefault="002D7D7B" w:rsidP="002D7D7B">
      <w:pPr>
        <w:pStyle w:val="ListParagraph"/>
        <w:rPr>
          <w:rFonts w:ascii="Arial" w:hAnsi="Arial" w:cs="Arial"/>
          <w:b/>
          <w:sz w:val="24"/>
          <w:szCs w:val="24"/>
        </w:rPr>
      </w:pPr>
    </w:p>
    <w:p w:rsidR="002D7D7B" w:rsidRPr="00C82BA4" w:rsidRDefault="002D7D7B" w:rsidP="002D7D7B">
      <w:pPr>
        <w:pStyle w:val="ListParagraph"/>
        <w:numPr>
          <w:ilvl w:val="0"/>
          <w:numId w:val="2"/>
        </w:numPr>
        <w:rPr>
          <w:sz w:val="24"/>
          <w:szCs w:val="24"/>
          <w:vertAlign w:val="superscript"/>
        </w:rPr>
      </w:pPr>
      <w:r w:rsidRPr="00C82BA4">
        <w:rPr>
          <w:sz w:val="20"/>
          <w:szCs w:val="20"/>
        </w:rPr>
        <w:t>If unrestricted cash was lowered in the past year due to Special Transfers, the amount of the special transfer will be added to the amount of unrestricted cash for the purpose of these calculations</w:t>
      </w:r>
      <w:r w:rsidRPr="00C82BA4">
        <w:rPr>
          <w:sz w:val="24"/>
          <w:szCs w:val="24"/>
          <w:vertAlign w:val="superscript"/>
        </w:rPr>
        <w:t xml:space="preserve"> </w:t>
      </w:r>
    </w:p>
    <w:p w:rsidR="002D7D7B" w:rsidRPr="00C82BA4" w:rsidRDefault="002D7D7B" w:rsidP="002D7D7B">
      <w:pPr>
        <w:pStyle w:val="ListParagraph"/>
        <w:spacing w:after="120"/>
        <w:ind w:left="634"/>
        <w:rPr>
          <w:sz w:val="16"/>
          <w:szCs w:val="16"/>
          <w:vertAlign w:val="superscript"/>
        </w:rPr>
      </w:pPr>
    </w:p>
    <w:p w:rsidR="00C82BA4" w:rsidRPr="00851B83" w:rsidRDefault="002D7D7B" w:rsidP="00851B83">
      <w:pPr>
        <w:pStyle w:val="ListParagraph"/>
        <w:numPr>
          <w:ilvl w:val="0"/>
          <w:numId w:val="2"/>
        </w:numPr>
        <w:rPr>
          <w:sz w:val="20"/>
          <w:szCs w:val="20"/>
        </w:rPr>
      </w:pPr>
      <w:r w:rsidRPr="00C82BA4">
        <w:rPr>
          <w:sz w:val="20"/>
          <w:szCs w:val="20"/>
        </w:rPr>
        <w:t>If unrestricted cash was lowered due to expenditures for additional customer connections (service expansion generating additional revenue), the amount of the projected annual revenue may be added to the contribution to unrestricted cash for the purpose of this calculation.  This is designed to prevent penalizing employees for proper service expansion.  Determination of unrestricted cash includes Volt-Var</w:t>
      </w:r>
      <w:r w:rsidR="00A86B7A">
        <w:rPr>
          <w:sz w:val="20"/>
          <w:szCs w:val="20"/>
        </w:rPr>
        <w:t xml:space="preserve"> in the case of Electric</w:t>
      </w:r>
      <w:r w:rsidRPr="00C82BA4">
        <w:rPr>
          <w:sz w:val="20"/>
          <w:szCs w:val="20"/>
        </w:rPr>
        <w:t>.</w:t>
      </w:r>
    </w:p>
    <w:sectPr w:rsidR="00C82BA4" w:rsidRPr="00851B83" w:rsidSect="00A82E4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139" w:rsidRDefault="00440139" w:rsidP="009903EE">
      <w:r>
        <w:separator/>
      </w:r>
    </w:p>
  </w:endnote>
  <w:endnote w:type="continuationSeparator" w:id="0">
    <w:p w:rsidR="00440139" w:rsidRDefault="00440139" w:rsidP="009903E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54743"/>
      <w:docPartObj>
        <w:docPartGallery w:val="Page Numbers (Bottom of Page)"/>
        <w:docPartUnique/>
      </w:docPartObj>
    </w:sdtPr>
    <w:sdtContent>
      <w:sdt>
        <w:sdtPr>
          <w:id w:val="565050477"/>
          <w:docPartObj>
            <w:docPartGallery w:val="Page Numbers (Top of Page)"/>
            <w:docPartUnique/>
          </w:docPartObj>
        </w:sdtPr>
        <w:sdtContent>
          <w:p w:rsidR="00E77D00" w:rsidRDefault="00E77D00">
            <w:pPr>
              <w:pStyle w:val="Footer"/>
              <w:jc w:val="center"/>
            </w:pPr>
            <w:r>
              <w:t xml:space="preserve">Page </w:t>
            </w:r>
            <w:r w:rsidR="00376AAB">
              <w:rPr>
                <w:b/>
              </w:rPr>
              <w:fldChar w:fldCharType="begin"/>
            </w:r>
            <w:r>
              <w:rPr>
                <w:b/>
              </w:rPr>
              <w:instrText xml:space="preserve"> PAGE </w:instrText>
            </w:r>
            <w:r w:rsidR="00376AAB">
              <w:rPr>
                <w:b/>
              </w:rPr>
              <w:fldChar w:fldCharType="separate"/>
            </w:r>
            <w:r w:rsidR="00D84A87">
              <w:rPr>
                <w:b/>
                <w:noProof/>
              </w:rPr>
              <w:t>1</w:t>
            </w:r>
            <w:r w:rsidR="00376AAB">
              <w:rPr>
                <w:b/>
              </w:rPr>
              <w:fldChar w:fldCharType="end"/>
            </w:r>
            <w:r>
              <w:t xml:space="preserve"> of </w:t>
            </w:r>
            <w:r w:rsidR="00376AAB">
              <w:rPr>
                <w:b/>
              </w:rPr>
              <w:fldChar w:fldCharType="begin"/>
            </w:r>
            <w:r>
              <w:rPr>
                <w:b/>
              </w:rPr>
              <w:instrText xml:space="preserve"> NUMPAGES  </w:instrText>
            </w:r>
            <w:r w:rsidR="00376AAB">
              <w:rPr>
                <w:b/>
              </w:rPr>
              <w:fldChar w:fldCharType="separate"/>
            </w:r>
            <w:r w:rsidR="00D84A87">
              <w:rPr>
                <w:b/>
                <w:noProof/>
              </w:rPr>
              <w:t>5</w:t>
            </w:r>
            <w:r w:rsidR="00376AAB">
              <w:rPr>
                <w:b/>
              </w:rPr>
              <w:fldChar w:fldCharType="end"/>
            </w:r>
          </w:p>
        </w:sdtContent>
      </w:sdt>
    </w:sdtContent>
  </w:sdt>
  <w:p w:rsidR="00E77D00" w:rsidRDefault="00E77D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139" w:rsidRDefault="00440139" w:rsidP="009903EE">
      <w:r>
        <w:separator/>
      </w:r>
    </w:p>
  </w:footnote>
  <w:footnote w:type="continuationSeparator" w:id="0">
    <w:p w:rsidR="00440139" w:rsidRDefault="00440139" w:rsidP="009903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1005F"/>
    <w:multiLevelType w:val="hybridMultilevel"/>
    <w:tmpl w:val="D35E5D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B43923"/>
    <w:multiLevelType w:val="hybridMultilevel"/>
    <w:tmpl w:val="D35E5D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B16300A"/>
    <w:multiLevelType w:val="hybridMultilevel"/>
    <w:tmpl w:val="67CA2E46"/>
    <w:lvl w:ilvl="0" w:tplc="4B6AB3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6F5078"/>
    <w:multiLevelType w:val="hybridMultilevel"/>
    <w:tmpl w:val="04048EC8"/>
    <w:lvl w:ilvl="0" w:tplc="3708B530">
      <w:start w:val="1"/>
      <w:numFmt w:val="decimal"/>
      <w:lvlText w:val="%1"/>
      <w:lvlJc w:val="left"/>
      <w:pPr>
        <w:ind w:left="630" w:hanging="360"/>
      </w:pPr>
      <w:rPr>
        <w:b w:val="0"/>
        <w:sz w:val="20"/>
        <w:vertAlign w:val="superscrip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CA37278"/>
    <w:multiLevelType w:val="hybridMultilevel"/>
    <w:tmpl w:val="C168583A"/>
    <w:lvl w:ilvl="0" w:tplc="9A5C49E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94683"/>
    <w:rsid w:val="00016321"/>
    <w:rsid w:val="00021524"/>
    <w:rsid w:val="00035DF8"/>
    <w:rsid w:val="00067C9D"/>
    <w:rsid w:val="0007606F"/>
    <w:rsid w:val="000B3E8F"/>
    <w:rsid w:val="000B7A89"/>
    <w:rsid w:val="001512CD"/>
    <w:rsid w:val="001519F7"/>
    <w:rsid w:val="001611D8"/>
    <w:rsid w:val="001C0F8A"/>
    <w:rsid w:val="00250703"/>
    <w:rsid w:val="00294683"/>
    <w:rsid w:val="002B1079"/>
    <w:rsid w:val="002C1494"/>
    <w:rsid w:val="002D4D34"/>
    <w:rsid w:val="002D7D7B"/>
    <w:rsid w:val="002E4EA5"/>
    <w:rsid w:val="003140B1"/>
    <w:rsid w:val="00336414"/>
    <w:rsid w:val="00376AAB"/>
    <w:rsid w:val="00392471"/>
    <w:rsid w:val="003D3731"/>
    <w:rsid w:val="003F7927"/>
    <w:rsid w:val="00437867"/>
    <w:rsid w:val="00440139"/>
    <w:rsid w:val="00464652"/>
    <w:rsid w:val="004737DC"/>
    <w:rsid w:val="004835B6"/>
    <w:rsid w:val="004D6A4A"/>
    <w:rsid w:val="00511214"/>
    <w:rsid w:val="00531D97"/>
    <w:rsid w:val="00547075"/>
    <w:rsid w:val="00573267"/>
    <w:rsid w:val="00577F78"/>
    <w:rsid w:val="005C0A52"/>
    <w:rsid w:val="0067636C"/>
    <w:rsid w:val="007124AC"/>
    <w:rsid w:val="007731E0"/>
    <w:rsid w:val="007741AC"/>
    <w:rsid w:val="007B6EC5"/>
    <w:rsid w:val="007F44EE"/>
    <w:rsid w:val="0082539E"/>
    <w:rsid w:val="008479E8"/>
    <w:rsid w:val="00851B83"/>
    <w:rsid w:val="00857539"/>
    <w:rsid w:val="00912C1A"/>
    <w:rsid w:val="009903EE"/>
    <w:rsid w:val="00A82E41"/>
    <w:rsid w:val="00A86B7A"/>
    <w:rsid w:val="00A93C59"/>
    <w:rsid w:val="00AA2723"/>
    <w:rsid w:val="00AA7E4B"/>
    <w:rsid w:val="00AE7734"/>
    <w:rsid w:val="00B10F01"/>
    <w:rsid w:val="00BB1218"/>
    <w:rsid w:val="00C24E99"/>
    <w:rsid w:val="00C82BA4"/>
    <w:rsid w:val="00D4511D"/>
    <w:rsid w:val="00D84A87"/>
    <w:rsid w:val="00E22207"/>
    <w:rsid w:val="00E31290"/>
    <w:rsid w:val="00E77D00"/>
    <w:rsid w:val="00EA70CD"/>
    <w:rsid w:val="00ED6F25"/>
    <w:rsid w:val="00F50E58"/>
    <w:rsid w:val="00FA23F4"/>
    <w:rsid w:val="00FF23EA"/>
    <w:rsid w:val="00FF6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03"/>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50703"/>
    <w:rPr>
      <w:rFonts w:ascii="Calibri" w:hAnsi="Calibri" w:cs="Calibri"/>
      <w:sz w:val="22"/>
      <w:szCs w:val="22"/>
    </w:rPr>
  </w:style>
  <w:style w:type="paragraph" w:styleId="BalloonText">
    <w:name w:val="Balloon Text"/>
    <w:basedOn w:val="Normal"/>
    <w:link w:val="BalloonTextChar"/>
    <w:uiPriority w:val="99"/>
    <w:semiHidden/>
    <w:unhideWhenUsed/>
    <w:rsid w:val="00AE7734"/>
    <w:rPr>
      <w:rFonts w:ascii="Tahoma" w:hAnsi="Tahoma" w:cs="Tahoma"/>
      <w:sz w:val="16"/>
      <w:szCs w:val="16"/>
    </w:rPr>
  </w:style>
  <w:style w:type="character" w:customStyle="1" w:styleId="BalloonTextChar">
    <w:name w:val="Balloon Text Char"/>
    <w:basedOn w:val="DefaultParagraphFont"/>
    <w:link w:val="BalloonText"/>
    <w:uiPriority w:val="99"/>
    <w:semiHidden/>
    <w:rsid w:val="00AE7734"/>
    <w:rPr>
      <w:rFonts w:ascii="Tahoma" w:eastAsiaTheme="minorEastAsia" w:hAnsi="Tahoma" w:cs="Tahoma"/>
      <w:sz w:val="16"/>
      <w:szCs w:val="16"/>
    </w:rPr>
  </w:style>
  <w:style w:type="paragraph" w:styleId="ListParagraph">
    <w:name w:val="List Paragraph"/>
    <w:basedOn w:val="Normal"/>
    <w:uiPriority w:val="34"/>
    <w:qFormat/>
    <w:rsid w:val="002D7D7B"/>
    <w:pPr>
      <w:spacing w:after="240"/>
      <w:ind w:left="720"/>
      <w:contextualSpacing/>
    </w:pPr>
    <w:rPr>
      <w:rFonts w:ascii="Calibri" w:eastAsia="Calibri" w:hAnsi="Calibri" w:cs="Times New Roman"/>
      <w:sz w:val="22"/>
      <w:szCs w:val="22"/>
    </w:rPr>
  </w:style>
  <w:style w:type="paragraph" w:styleId="Header">
    <w:name w:val="header"/>
    <w:basedOn w:val="Normal"/>
    <w:link w:val="HeaderChar"/>
    <w:uiPriority w:val="99"/>
    <w:semiHidden/>
    <w:unhideWhenUsed/>
    <w:rsid w:val="009903EE"/>
    <w:pPr>
      <w:tabs>
        <w:tab w:val="center" w:pos="4680"/>
        <w:tab w:val="right" w:pos="9360"/>
      </w:tabs>
    </w:pPr>
  </w:style>
  <w:style w:type="character" w:customStyle="1" w:styleId="HeaderChar">
    <w:name w:val="Header Char"/>
    <w:basedOn w:val="DefaultParagraphFont"/>
    <w:link w:val="Header"/>
    <w:uiPriority w:val="99"/>
    <w:semiHidden/>
    <w:rsid w:val="009903EE"/>
    <w:rPr>
      <w:rFonts w:ascii="Arial" w:eastAsiaTheme="minorEastAsia" w:hAnsi="Arial" w:cs="Arial"/>
      <w:sz w:val="24"/>
      <w:szCs w:val="24"/>
    </w:rPr>
  </w:style>
  <w:style w:type="paragraph" w:styleId="Footer">
    <w:name w:val="footer"/>
    <w:basedOn w:val="Normal"/>
    <w:link w:val="FooterChar"/>
    <w:uiPriority w:val="99"/>
    <w:unhideWhenUsed/>
    <w:rsid w:val="009903EE"/>
    <w:pPr>
      <w:tabs>
        <w:tab w:val="center" w:pos="4680"/>
        <w:tab w:val="right" w:pos="9360"/>
      </w:tabs>
    </w:pPr>
  </w:style>
  <w:style w:type="character" w:customStyle="1" w:styleId="FooterChar">
    <w:name w:val="Footer Char"/>
    <w:basedOn w:val="DefaultParagraphFont"/>
    <w:link w:val="Footer"/>
    <w:uiPriority w:val="99"/>
    <w:rsid w:val="009903EE"/>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DE5CC-39C7-4B26-AE92-82D1CA41DA8B}"/>
</file>

<file path=customXml/itemProps2.xml><?xml version="1.0" encoding="utf-8"?>
<ds:datastoreItem xmlns:ds="http://schemas.openxmlformats.org/officeDocument/2006/customXml" ds:itemID="{FB1CFD9B-53EC-4EC0-80D0-5EB0F8341B35}"/>
</file>

<file path=customXml/itemProps3.xml><?xml version="1.0" encoding="utf-8"?>
<ds:datastoreItem xmlns:ds="http://schemas.openxmlformats.org/officeDocument/2006/customXml" ds:itemID="{2B4188F1-3C4F-4FC9-A98D-2AEE112C85EB}"/>
</file>

<file path=docProps/app.xml><?xml version="1.0" encoding="utf-8"?>
<Properties xmlns="http://schemas.openxmlformats.org/officeDocument/2006/extended-properties" xmlns:vt="http://schemas.openxmlformats.org/officeDocument/2006/docPropsVTypes">
  <Template>Normal.dotm</Template>
  <TotalTime>1</TotalTime>
  <Pages>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Leesburg</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jdrymon</dc:creator>
  <cp:lastModifiedBy>flittky</cp:lastModifiedBy>
  <cp:revision>2</cp:revision>
  <cp:lastPrinted>2012-03-06T17:46:00Z</cp:lastPrinted>
  <dcterms:created xsi:type="dcterms:W3CDTF">2012-03-13T18:09:00Z</dcterms:created>
  <dcterms:modified xsi:type="dcterms:W3CDTF">2012-03-13T18:09:00Z</dcterms:modified>
</cp:coreProperties>
</file>