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B6" w:rsidRDefault="006F39B6" w:rsidP="0078368A">
      <w:pPr>
        <w:tabs>
          <w:tab w:val="left" w:pos="1800"/>
        </w:tabs>
        <w:jc w:val="center"/>
        <w:rPr>
          <w:rFonts w:ascii="Arial" w:hAnsi="Arial"/>
          <w:color w:val="3C6D28"/>
          <w:sz w:val="28"/>
        </w:rPr>
      </w:pPr>
    </w:p>
    <w:p w:rsidR="006F39B6" w:rsidRDefault="006F39B6" w:rsidP="006F39B6">
      <w:pPr>
        <w:spacing w:line="276" w:lineRule="auto"/>
        <w:rPr>
          <w:rFonts w:ascii="Arial" w:eastAsia="Times New Roman" w:hAnsi="Arial" w:cs="Arial"/>
          <w:color w:val="9BBB59"/>
          <w:sz w:val="48"/>
          <w:szCs w:val="48"/>
        </w:rPr>
      </w:pPr>
    </w:p>
    <w:p w:rsidR="006F39B6" w:rsidRDefault="006F39B6" w:rsidP="006F39B6">
      <w:pPr>
        <w:spacing w:line="276" w:lineRule="auto"/>
        <w:rPr>
          <w:rFonts w:ascii="Arial" w:eastAsia="Times New Roman" w:hAnsi="Arial" w:cs="Arial"/>
          <w:color w:val="9BBB59"/>
          <w:sz w:val="48"/>
          <w:szCs w:val="48"/>
        </w:rPr>
      </w:pPr>
    </w:p>
    <w:p w:rsidR="00851A47" w:rsidRDefault="00851A47" w:rsidP="000633D3">
      <w:pPr>
        <w:spacing w:line="276" w:lineRule="auto"/>
        <w:jc w:val="center"/>
        <w:rPr>
          <w:rFonts w:ascii="Calibri" w:eastAsia="Times New Roman" w:hAnsi="Calibri" w:cs="Arial"/>
          <w:color w:val="9BBB59"/>
          <w:sz w:val="48"/>
          <w:szCs w:val="48"/>
        </w:rPr>
      </w:pPr>
    </w:p>
    <w:p w:rsidR="006F39B6" w:rsidRPr="000633D3" w:rsidRDefault="00472CB3" w:rsidP="00851A47">
      <w:pPr>
        <w:spacing w:line="276" w:lineRule="auto"/>
        <w:jc w:val="right"/>
        <w:rPr>
          <w:rFonts w:ascii="Calibri" w:eastAsia="Times New Roman" w:hAnsi="Calibri" w:cs="Arial"/>
          <w:color w:val="9BBB59"/>
          <w:sz w:val="48"/>
          <w:szCs w:val="48"/>
        </w:rPr>
      </w:pPr>
      <w:r>
        <w:rPr>
          <w:rFonts w:ascii="Calibri" w:eastAsia="Times New Roman" w:hAnsi="Calibri" w:cs="Arial"/>
          <w:noProof/>
          <w:color w:val="9BBB59"/>
          <w:sz w:val="48"/>
          <w:szCs w:val="48"/>
        </w:rPr>
        <w:drawing>
          <wp:anchor distT="0" distB="0" distL="114300" distR="114300" simplePos="0" relativeHeight="251657216" behindDoc="1" locked="0" layoutInCell="1" allowOverlap="1">
            <wp:simplePos x="0" y="0"/>
            <wp:positionH relativeFrom="page">
              <wp:posOffset>683895</wp:posOffset>
            </wp:positionH>
            <wp:positionV relativeFrom="page">
              <wp:posOffset>581660</wp:posOffset>
            </wp:positionV>
            <wp:extent cx="1928495" cy="70040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28495" cy="700405"/>
                    </a:xfrm>
                    <a:prstGeom prst="rect">
                      <a:avLst/>
                    </a:prstGeom>
                    <a:noFill/>
                    <a:ln w="12700">
                      <a:noFill/>
                      <a:miter lim="800000"/>
                      <a:headEnd/>
                      <a:tailEnd/>
                    </a:ln>
                  </pic:spPr>
                </pic:pic>
              </a:graphicData>
            </a:graphic>
          </wp:anchor>
        </w:drawing>
      </w:r>
      <w:r w:rsidR="00724C15">
        <w:rPr>
          <w:rFonts w:ascii="Calibri" w:eastAsia="Times New Roman" w:hAnsi="Calibri" w:cs="Arial"/>
          <w:noProof/>
          <w:color w:val="9BBB59"/>
          <w:sz w:val="48"/>
          <w:szCs w:val="48"/>
        </w:rPr>
        <w:t>ICMA 2012</w:t>
      </w:r>
    </w:p>
    <w:p w:rsidR="006F39B6" w:rsidRPr="000633D3" w:rsidRDefault="00724C15" w:rsidP="00851A47">
      <w:pPr>
        <w:spacing w:line="276" w:lineRule="auto"/>
        <w:jc w:val="right"/>
        <w:rPr>
          <w:rFonts w:ascii="Calibri" w:eastAsia="Times New Roman" w:hAnsi="Calibri" w:cs="Arial"/>
          <w:color w:val="9BBB59"/>
          <w:sz w:val="48"/>
          <w:szCs w:val="48"/>
        </w:rPr>
      </w:pPr>
      <w:r>
        <w:rPr>
          <w:rFonts w:ascii="Calibri" w:eastAsia="Times New Roman" w:hAnsi="Calibri" w:cs="Arial"/>
          <w:color w:val="9BBB59"/>
          <w:sz w:val="48"/>
          <w:szCs w:val="48"/>
        </w:rPr>
        <w:t>Program</w:t>
      </w:r>
      <w:r w:rsidR="006F39B6" w:rsidRPr="000633D3">
        <w:rPr>
          <w:rFonts w:ascii="Calibri" w:eastAsia="Times New Roman" w:hAnsi="Calibri" w:cs="Arial"/>
          <w:color w:val="9BBB59"/>
          <w:sz w:val="48"/>
          <w:szCs w:val="48"/>
        </w:rPr>
        <w:t xml:space="preserve"> Excellence Awards</w:t>
      </w:r>
    </w:p>
    <w:p w:rsidR="006F39B6" w:rsidRDefault="006F39B6"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6F39B6" w:rsidRDefault="006F39B6"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6F39B6" w:rsidRPr="000633D3" w:rsidRDefault="00724C15" w:rsidP="00851A47">
      <w:pPr>
        <w:spacing w:line="276" w:lineRule="auto"/>
        <w:jc w:val="right"/>
        <w:rPr>
          <w:rFonts w:ascii="Calibri" w:eastAsia="Times New Roman" w:hAnsi="Calibri" w:cs="Arial"/>
          <w:color w:val="9BBB59"/>
          <w:sz w:val="48"/>
          <w:szCs w:val="48"/>
        </w:rPr>
      </w:pPr>
      <w:r>
        <w:rPr>
          <w:rFonts w:ascii="Calibri" w:eastAsia="Times New Roman" w:hAnsi="Calibri" w:cs="Arial"/>
          <w:color w:val="9BBB59"/>
          <w:sz w:val="48"/>
          <w:szCs w:val="48"/>
        </w:rPr>
        <w:t>Community Partnerships Award</w:t>
      </w:r>
    </w:p>
    <w:p w:rsidR="006F39B6" w:rsidRPr="000633D3" w:rsidRDefault="006F39B6" w:rsidP="00851A47">
      <w:pPr>
        <w:spacing w:line="276" w:lineRule="auto"/>
        <w:jc w:val="right"/>
        <w:rPr>
          <w:rFonts w:ascii="Calibri" w:eastAsia="Times New Roman" w:hAnsi="Calibri" w:cs="Arial"/>
          <w:color w:val="404040"/>
          <w:sz w:val="32"/>
          <w:szCs w:val="32"/>
        </w:rPr>
      </w:pPr>
      <w:r w:rsidRPr="000633D3">
        <w:rPr>
          <w:rFonts w:ascii="Calibri" w:eastAsia="Times New Roman" w:hAnsi="Calibri" w:cs="Arial"/>
          <w:color w:val="404040"/>
          <w:sz w:val="32"/>
          <w:szCs w:val="32"/>
        </w:rPr>
        <w:t>City of Surrey</w:t>
      </w:r>
    </w:p>
    <w:p w:rsidR="006F39B6" w:rsidRPr="000633D3" w:rsidRDefault="00724C15" w:rsidP="00851A47">
      <w:pPr>
        <w:spacing w:line="276" w:lineRule="auto"/>
        <w:jc w:val="right"/>
        <w:rPr>
          <w:rFonts w:ascii="Calibri" w:eastAsia="Times New Roman" w:hAnsi="Calibri" w:cs="Arial"/>
          <w:color w:val="404040"/>
          <w:sz w:val="32"/>
          <w:szCs w:val="32"/>
        </w:rPr>
      </w:pPr>
      <w:r>
        <w:rPr>
          <w:rFonts w:ascii="Calibri" w:eastAsia="Times New Roman" w:hAnsi="Calibri" w:cs="Arial"/>
          <w:color w:val="404040"/>
          <w:sz w:val="32"/>
          <w:szCs w:val="32"/>
        </w:rPr>
        <w:t>Crime Reduction Strategy</w:t>
      </w:r>
    </w:p>
    <w:p w:rsidR="006F39B6" w:rsidRPr="000633D3" w:rsidRDefault="00724C15" w:rsidP="00851A47">
      <w:pPr>
        <w:tabs>
          <w:tab w:val="left" w:pos="1800"/>
        </w:tabs>
        <w:spacing w:line="276" w:lineRule="auto"/>
        <w:jc w:val="right"/>
        <w:rPr>
          <w:rFonts w:ascii="Calibri" w:hAnsi="Calibri"/>
          <w:sz w:val="32"/>
          <w:szCs w:val="32"/>
        </w:rPr>
      </w:pPr>
      <w:r>
        <w:rPr>
          <w:rFonts w:ascii="Calibri" w:eastAsia="Times New Roman" w:hAnsi="Calibri" w:cs="Arial"/>
          <w:color w:val="404040"/>
          <w:sz w:val="32"/>
          <w:szCs w:val="32"/>
        </w:rPr>
        <w:t>50,000 and Greater</w:t>
      </w:r>
    </w:p>
    <w:p w:rsidR="004F1764" w:rsidRPr="00157571" w:rsidRDefault="006F39B6" w:rsidP="0078368A">
      <w:pPr>
        <w:tabs>
          <w:tab w:val="left" w:pos="1800"/>
        </w:tabs>
        <w:jc w:val="center"/>
        <w:rPr>
          <w:rFonts w:ascii="Arial" w:hAnsi="Arial"/>
          <w:b/>
          <w:color w:val="3C6D28"/>
          <w:sz w:val="22"/>
          <w:szCs w:val="22"/>
        </w:rPr>
      </w:pPr>
      <w:r>
        <w:rPr>
          <w:rFonts w:ascii="Arial" w:hAnsi="Arial"/>
          <w:color w:val="3C6D28"/>
          <w:sz w:val="28"/>
        </w:rPr>
        <w:br w:type="page"/>
      </w:r>
    </w:p>
    <w:p w:rsidR="003824EC" w:rsidRDefault="003824EC" w:rsidP="003824EC">
      <w:pPr>
        <w:pStyle w:val="Heading1"/>
        <w:jc w:val="center"/>
        <w:rPr>
          <w:kern w:val="0"/>
        </w:rPr>
      </w:pPr>
    </w:p>
    <w:p w:rsidR="003824EC" w:rsidRPr="002A12E4" w:rsidRDefault="00472CB3" w:rsidP="003824EC">
      <w:pPr>
        <w:tabs>
          <w:tab w:val="center" w:pos="4680"/>
        </w:tabs>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222500" cy="546100"/>
            <wp:effectExtent l="19050" t="0" r="6350" b="0"/>
            <wp:wrapNone/>
            <wp:docPr id="7" name="Picture 2"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A Master Stack Tag COL.jpg"/>
                    <pic:cNvPicPr>
                      <a:picLocks noChangeAspect="1" noChangeArrowheads="1"/>
                    </pic:cNvPicPr>
                  </pic:nvPicPr>
                  <pic:blipFill>
                    <a:blip r:embed="rId9"/>
                    <a:srcRect/>
                    <a:stretch>
                      <a:fillRect/>
                    </a:stretch>
                  </pic:blipFill>
                  <pic:spPr bwMode="auto">
                    <a:xfrm>
                      <a:off x="0" y="0"/>
                      <a:ext cx="2222500" cy="546100"/>
                    </a:xfrm>
                    <a:prstGeom prst="rect">
                      <a:avLst/>
                    </a:prstGeom>
                    <a:noFill/>
                    <a:ln w="9525">
                      <a:noFill/>
                      <a:miter lim="800000"/>
                      <a:headEnd/>
                      <a:tailEnd/>
                    </a:ln>
                  </pic:spPr>
                </pic:pic>
              </a:graphicData>
            </a:graphic>
          </wp:anchor>
        </w:drawing>
      </w:r>
      <w:r w:rsidR="003824EC">
        <w:tab/>
      </w:r>
      <w:r w:rsidR="003824EC">
        <w:rPr>
          <w:rFonts w:ascii="Verdana" w:hAnsi="Verdana" w:cs="Verdana"/>
          <w:color w:val="005597"/>
          <w:sz w:val="28"/>
          <w:szCs w:val="28"/>
        </w:rPr>
        <w:t>2012</w:t>
      </w:r>
      <w:r w:rsidR="003824EC" w:rsidRPr="0025643E">
        <w:rPr>
          <w:rFonts w:ascii="Verdana" w:hAnsi="Verdana" w:cs="Verdana"/>
          <w:color w:val="005597"/>
          <w:sz w:val="28"/>
          <w:szCs w:val="28"/>
        </w:rPr>
        <w:t xml:space="preserve"> Annual Awards Program</w:t>
      </w:r>
    </w:p>
    <w:p w:rsidR="003824EC" w:rsidRPr="0025643E" w:rsidRDefault="003824EC" w:rsidP="003824E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3824EC" w:rsidRPr="00226D1B" w:rsidRDefault="003824EC" w:rsidP="003824EC">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 xml:space="preserve">Deadline for Nominations: March </w:t>
      </w:r>
      <w:r>
        <w:rPr>
          <w:rFonts w:ascii="Verdana" w:hAnsi="Verdana" w:cs="Verdana"/>
          <w:i w:val="0"/>
          <w:iCs w:val="0"/>
          <w:color w:val="000000"/>
          <w:sz w:val="22"/>
          <w:szCs w:val="22"/>
        </w:rPr>
        <w:t>16</w:t>
      </w:r>
      <w:r w:rsidRPr="00226D1B">
        <w:rPr>
          <w:rFonts w:ascii="Verdana" w:hAnsi="Verdana" w:cs="Verdana"/>
          <w:i w:val="0"/>
          <w:iCs w:val="0"/>
          <w:color w:val="000000"/>
          <w:sz w:val="22"/>
          <w:szCs w:val="22"/>
        </w:rPr>
        <w:t>,</w:t>
      </w:r>
      <w:r>
        <w:rPr>
          <w:rFonts w:ascii="Verdana" w:hAnsi="Verdana" w:cs="Verdana"/>
          <w:i w:val="0"/>
          <w:iCs w:val="0"/>
          <w:color w:val="000000"/>
          <w:sz w:val="22"/>
          <w:szCs w:val="22"/>
        </w:rPr>
        <w:t xml:space="preserve"> 2012</w:t>
      </w:r>
    </w:p>
    <w:p w:rsidR="003824EC" w:rsidRPr="005B0F0E" w:rsidRDefault="003824EC" w:rsidP="003824EC">
      <w:pPr>
        <w:pStyle w:val="Default"/>
        <w:rPr>
          <w:rFonts w:ascii="Verdana" w:hAnsi="Verdana" w:cs="Verdana"/>
          <w:sz w:val="22"/>
          <w:szCs w:val="22"/>
        </w:rPr>
      </w:pPr>
    </w:p>
    <w:p w:rsidR="003824EC" w:rsidRPr="005B0F0E" w:rsidRDefault="003824EC" w:rsidP="003824EC">
      <w:pPr>
        <w:pStyle w:val="Default"/>
        <w:rPr>
          <w:rFonts w:ascii="Verdana" w:hAnsi="Verdana" w:cs="Verdana"/>
          <w:sz w:val="22"/>
          <w:szCs w:val="22"/>
        </w:rPr>
      </w:pPr>
      <w:r w:rsidRPr="005B0F0E">
        <w:rPr>
          <w:rFonts w:ascii="Verdana" w:hAnsi="Verdana" w:cs="Verdana"/>
          <w:sz w:val="22"/>
          <w:szCs w:val="22"/>
        </w:rPr>
        <w:t xml:space="preserve">Complete this form </w:t>
      </w:r>
      <w:r>
        <w:rPr>
          <w:rFonts w:ascii="Verdana" w:hAnsi="Verdana" w:cs="Verdana"/>
          <w:sz w:val="22"/>
          <w:szCs w:val="22"/>
        </w:rPr>
        <w:t xml:space="preserve">(sections 1 and 2) </w:t>
      </w:r>
      <w:r w:rsidRPr="005B0F0E">
        <w:rPr>
          <w:rFonts w:ascii="Verdana" w:hAnsi="Verdana" w:cs="Verdana"/>
          <w:sz w:val="22"/>
          <w:szCs w:val="22"/>
        </w:rPr>
        <w:t>and</w:t>
      </w:r>
      <w:r>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3824EC" w:rsidRDefault="003824EC" w:rsidP="003824EC">
      <w:pPr>
        <w:pStyle w:val="Heading3"/>
        <w:rPr>
          <w:rFonts w:ascii="Verdana" w:hAnsi="Verdana" w:cs="Verdana"/>
          <w:color w:val="005597"/>
          <w:sz w:val="22"/>
          <w:szCs w:val="22"/>
        </w:rPr>
      </w:pPr>
      <w:r w:rsidRPr="0025643E">
        <w:rPr>
          <w:rFonts w:ascii="Verdana" w:hAnsi="Verdana" w:cs="Verdana"/>
          <w:color w:val="005597"/>
          <w:sz w:val="22"/>
          <w:szCs w:val="22"/>
        </w:rPr>
        <w:t xml:space="preserve">SECTION 1: Information </w:t>
      </w:r>
      <w:proofErr w:type="gramStart"/>
      <w:r w:rsidRPr="0025643E">
        <w:rPr>
          <w:rFonts w:ascii="Verdana" w:hAnsi="Verdana" w:cs="Verdana"/>
          <w:color w:val="005597"/>
          <w:sz w:val="22"/>
          <w:szCs w:val="22"/>
        </w:rPr>
        <w:t>About</w:t>
      </w:r>
      <w:proofErr w:type="gramEnd"/>
      <w:r w:rsidRPr="0025643E">
        <w:rPr>
          <w:rFonts w:ascii="Verdana" w:hAnsi="Verdana" w:cs="Verdana"/>
          <w:color w:val="005597"/>
          <w:sz w:val="22"/>
          <w:szCs w:val="22"/>
        </w:rPr>
        <w:t xml:space="preserve"> the Nominated Program</w:t>
      </w:r>
    </w:p>
    <w:p w:rsidR="003824EC" w:rsidRPr="005B0F0E" w:rsidRDefault="003824EC" w:rsidP="003824EC">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p w:rsidR="003824EC" w:rsidRPr="005B7680" w:rsidRDefault="003824EC" w:rsidP="003824EC">
      <w:pPr>
        <w:pStyle w:val="Default"/>
        <w:spacing w:after="120"/>
        <w:ind w:left="720"/>
        <w:rPr>
          <w:rFonts w:ascii="Verdana" w:hAnsi="Verdana" w:cs="Verdana"/>
          <w:sz w:val="22"/>
          <w:szCs w:val="22"/>
        </w:rPr>
      </w:pPr>
      <w:r w:rsidRPr="005B7680">
        <w:rPr>
          <w:rFonts w:ascii="Verdana" w:hAnsi="Verdana" w:cs="Verdana"/>
          <w:sz w:val="22"/>
          <w:szCs w:val="22"/>
        </w:rPr>
        <w:tab/>
        <w:t xml:space="preserve">Community Health and Safety </w:t>
      </w:r>
    </w:p>
    <w:p w:rsidR="003824EC" w:rsidRPr="005B7680" w:rsidRDefault="006532E6" w:rsidP="003824EC">
      <w:pPr>
        <w:pStyle w:val="Default"/>
        <w:spacing w:after="120"/>
        <w:ind w:left="720"/>
        <w:rPr>
          <w:rFonts w:ascii="Verdana" w:hAnsi="Verdana" w:cs="Verdana"/>
          <w:sz w:val="22"/>
          <w:szCs w:val="22"/>
        </w:rPr>
      </w:pPr>
      <w:r>
        <w:rPr>
          <w:rFonts w:ascii="Verdana" w:hAnsi="Verdana" w:cs="Verdana"/>
          <w:sz w:val="22"/>
          <w:szCs w:val="22"/>
        </w:rPr>
        <w:t>X</w:t>
      </w:r>
      <w:r w:rsidR="003824EC" w:rsidRPr="005B7680">
        <w:rPr>
          <w:rFonts w:ascii="Verdana" w:hAnsi="Verdana" w:cs="Verdana"/>
          <w:sz w:val="22"/>
          <w:szCs w:val="22"/>
        </w:rPr>
        <w:tab/>
        <w:t xml:space="preserve">Community Partnership </w:t>
      </w:r>
    </w:p>
    <w:p w:rsidR="003824EC" w:rsidRPr="005B7680" w:rsidRDefault="003824EC" w:rsidP="003824EC">
      <w:pPr>
        <w:pStyle w:val="Default"/>
        <w:spacing w:after="120"/>
        <w:ind w:left="720"/>
        <w:rPr>
          <w:rFonts w:ascii="Verdana" w:hAnsi="Verdana" w:cs="Verdana"/>
          <w:sz w:val="22"/>
          <w:szCs w:val="22"/>
        </w:rPr>
      </w:pPr>
      <w:r w:rsidRPr="005B7680">
        <w:rPr>
          <w:rFonts w:ascii="Verdana" w:hAnsi="Verdana" w:cs="Verdana"/>
          <w:sz w:val="22"/>
          <w:szCs w:val="22"/>
        </w:rPr>
        <w:tab/>
        <w:t xml:space="preserve">Community Sustainability </w:t>
      </w:r>
    </w:p>
    <w:p w:rsidR="003824EC" w:rsidRDefault="003824EC" w:rsidP="003824EC">
      <w:pPr>
        <w:pStyle w:val="Default"/>
        <w:spacing w:after="120"/>
        <w:ind w:left="720"/>
        <w:rPr>
          <w:rFonts w:ascii="Verdana" w:hAnsi="Verdana" w:cs="Verdana"/>
        </w:rPr>
      </w:pPr>
      <w:r w:rsidRPr="005B7680">
        <w:rPr>
          <w:rFonts w:ascii="Verdana" w:hAnsi="Verdana" w:cs="Verdana"/>
          <w:sz w:val="22"/>
          <w:szCs w:val="22"/>
        </w:rPr>
        <w:tab/>
        <w:t xml:space="preserve">Strategic </w:t>
      </w:r>
      <w:r w:rsidRPr="009D68B7">
        <w:rPr>
          <w:rFonts w:ascii="Verdana" w:hAnsi="Verdana" w:cs="Verdana"/>
          <w:sz w:val="22"/>
          <w:szCs w:val="22"/>
        </w:rPr>
        <w:t>Lea</w:t>
      </w:r>
      <w:r w:rsidRPr="009D68B7">
        <w:rPr>
          <w:rFonts w:ascii="Verdana" w:hAnsi="Verdana" w:cs="Verdana"/>
          <w:sz w:val="22"/>
        </w:rPr>
        <w:t>dership and Governance</w:t>
      </w:r>
    </w:p>
    <w:tbl>
      <w:tblPr>
        <w:tblW w:w="0" w:type="auto"/>
        <w:tblLayout w:type="fixed"/>
        <w:tblCellMar>
          <w:left w:w="115" w:type="dxa"/>
          <w:right w:w="115" w:type="dxa"/>
        </w:tblCellMar>
        <w:tblLook w:val="01E0"/>
      </w:tblPr>
      <w:tblGrid>
        <w:gridCol w:w="2538"/>
        <w:gridCol w:w="2250"/>
        <w:gridCol w:w="277"/>
        <w:gridCol w:w="2117"/>
        <w:gridCol w:w="2394"/>
      </w:tblGrid>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Name of program being nominated:</w:t>
            </w:r>
          </w:p>
        </w:tc>
        <w:tc>
          <w:tcPr>
            <w:tcW w:w="7038" w:type="dxa"/>
            <w:gridSpan w:val="4"/>
          </w:tcPr>
          <w:p w:rsidR="003824EC" w:rsidRPr="00C6477E" w:rsidRDefault="003824EC" w:rsidP="004309F0">
            <w:pPr>
              <w:pStyle w:val="Default"/>
              <w:spacing w:before="80" w:after="80"/>
              <w:rPr>
                <w:rFonts w:ascii="Verdana" w:hAnsi="Verdana" w:cs="Verdana"/>
                <w:sz w:val="22"/>
                <w:szCs w:val="22"/>
                <w:u w:val="single"/>
              </w:rPr>
            </w:pPr>
            <w:r>
              <w:rPr>
                <w:rFonts w:ascii="Verdana" w:hAnsi="Verdana" w:cs="Verdana"/>
                <w:sz w:val="22"/>
                <w:szCs w:val="22"/>
                <w:u w:val="single"/>
              </w:rPr>
              <w:t>Crime Reduction Strategy</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Jurisdiction(s) where program originated:</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 xml:space="preserve">City </w:t>
            </w:r>
            <w:r>
              <w:rPr>
                <w:rFonts w:ascii="Verdana" w:hAnsi="Verdana" w:cs="Verdana"/>
                <w:sz w:val="22"/>
                <w:szCs w:val="22"/>
                <w:u w:val="single"/>
              </w:rPr>
              <w:t>of Surrey</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Jurisdiction population(s):</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Pr>
                <w:rFonts w:ascii="Verdana" w:hAnsi="Verdana" w:cs="Verdana"/>
                <w:sz w:val="22"/>
                <w:szCs w:val="22"/>
                <w:u w:val="single"/>
              </w:rPr>
              <w:t>484</w:t>
            </w:r>
            <w:r w:rsidRPr="00C6477E">
              <w:rPr>
                <w:rFonts w:ascii="Verdana" w:hAnsi="Verdana" w:cs="Verdana"/>
                <w:sz w:val="22"/>
                <w:szCs w:val="22"/>
                <w:u w:val="single"/>
              </w:rPr>
              <w:t>,000</w:t>
            </w:r>
          </w:p>
        </w:tc>
      </w:tr>
      <w:tr w:rsidR="003824EC" w:rsidTr="004309F0">
        <w:tc>
          <w:tcPr>
            <w:tcW w:w="9576" w:type="dxa"/>
            <w:gridSpan w:val="5"/>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Please indicate the month and year in which the program you are nominating was fully implemented. (Note: All Program Excellence Award nominations must have been fully implemented by or before January 31, 2011, to be eligible. The start date should not include the initial planning phase.)</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Month:</w:t>
            </w:r>
          </w:p>
        </w:tc>
        <w:tc>
          <w:tcPr>
            <w:tcW w:w="2250" w:type="dxa"/>
          </w:tcPr>
          <w:p w:rsidR="003824EC" w:rsidRPr="00C6477E" w:rsidRDefault="003824EC" w:rsidP="004309F0">
            <w:pPr>
              <w:pStyle w:val="Default"/>
              <w:spacing w:before="80" w:after="80"/>
              <w:rPr>
                <w:rFonts w:ascii="Verdana" w:hAnsi="Verdana" w:cs="Verdana"/>
                <w:sz w:val="22"/>
                <w:szCs w:val="22"/>
              </w:rPr>
            </w:pPr>
            <w:r>
              <w:rPr>
                <w:rFonts w:ascii="Verdana" w:hAnsi="Verdana" w:cs="Verdana"/>
                <w:sz w:val="22"/>
                <w:szCs w:val="22"/>
                <w:u w:val="single"/>
              </w:rPr>
              <w:t>June</w:t>
            </w:r>
          </w:p>
        </w:tc>
        <w:tc>
          <w:tcPr>
            <w:tcW w:w="2394" w:type="dxa"/>
            <w:gridSpan w:val="2"/>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Year:</w:t>
            </w:r>
          </w:p>
        </w:tc>
        <w:tc>
          <w:tcPr>
            <w:tcW w:w="2394" w:type="dxa"/>
          </w:tcPr>
          <w:p w:rsidR="003824EC" w:rsidRPr="00C6477E" w:rsidRDefault="003824EC" w:rsidP="00B834A0">
            <w:pPr>
              <w:pStyle w:val="Default"/>
              <w:spacing w:before="80" w:after="80"/>
              <w:rPr>
                <w:rFonts w:ascii="Verdana" w:hAnsi="Verdana" w:cs="Verdana"/>
                <w:sz w:val="22"/>
                <w:szCs w:val="22"/>
              </w:rPr>
            </w:pPr>
            <w:r>
              <w:rPr>
                <w:rFonts w:ascii="Verdana" w:hAnsi="Verdana" w:cs="Verdana"/>
                <w:sz w:val="22"/>
                <w:szCs w:val="22"/>
                <w:u w:val="single"/>
              </w:rPr>
              <w:t>200</w:t>
            </w:r>
            <w:r w:rsidR="00B834A0">
              <w:rPr>
                <w:rFonts w:ascii="Verdana" w:hAnsi="Verdana" w:cs="Verdana"/>
                <w:sz w:val="22"/>
                <w:szCs w:val="22"/>
                <w:u w:val="single"/>
              </w:rPr>
              <w:t>6</w:t>
            </w:r>
          </w:p>
        </w:tc>
      </w:tr>
      <w:tr w:rsidR="003824EC" w:rsidTr="004309F0">
        <w:tc>
          <w:tcPr>
            <w:tcW w:w="9576" w:type="dxa"/>
            <w:gridSpan w:val="5"/>
          </w:tcPr>
          <w:p w:rsidR="00B834A0" w:rsidRDefault="00B834A0" w:rsidP="004309F0">
            <w:pPr>
              <w:pStyle w:val="Default"/>
              <w:spacing w:before="80" w:after="80"/>
              <w:rPr>
                <w:rFonts w:ascii="Verdana" w:hAnsi="Verdana" w:cs="Verdana"/>
                <w:sz w:val="22"/>
                <w:szCs w:val="22"/>
              </w:rPr>
            </w:pPr>
          </w:p>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Name(s) and title(s) of individual(s) who should receive recognition for this award at the ICMA Annual Conference in Phoenix, Arizona, October 2012. (Each individual listed MUST be an ICMA member to be recognized.):</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Name:</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Murray Dinwoodie</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Title:</w:t>
            </w:r>
          </w:p>
        </w:tc>
        <w:tc>
          <w:tcPr>
            <w:tcW w:w="2527" w:type="dxa"/>
            <w:gridSpan w:val="2"/>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City Manager</w:t>
            </w:r>
          </w:p>
        </w:tc>
        <w:tc>
          <w:tcPr>
            <w:tcW w:w="2117"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Jurisdiction:</w:t>
            </w:r>
          </w:p>
        </w:tc>
        <w:tc>
          <w:tcPr>
            <w:tcW w:w="2394"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City of Surrey, British Columbia</w:t>
            </w:r>
          </w:p>
        </w:tc>
      </w:tr>
    </w:tbl>
    <w:p w:rsidR="00B834A0" w:rsidRDefault="00B834A0" w:rsidP="003824EC">
      <w:pPr>
        <w:pStyle w:val="Heading3"/>
        <w:spacing w:before="80" w:after="80"/>
        <w:rPr>
          <w:rFonts w:ascii="Verdana" w:hAnsi="Verdana" w:cs="Verdana"/>
          <w:color w:val="005597"/>
          <w:sz w:val="22"/>
          <w:szCs w:val="22"/>
        </w:rPr>
      </w:pPr>
    </w:p>
    <w:p w:rsidR="00B834A0" w:rsidRDefault="00B834A0" w:rsidP="00B834A0">
      <w:pPr>
        <w:rPr>
          <w:rFonts w:eastAsia="Times New Roman"/>
        </w:rPr>
      </w:pPr>
      <w:r>
        <w:br w:type="page"/>
      </w:r>
    </w:p>
    <w:p w:rsidR="003824EC" w:rsidRPr="005F2E13" w:rsidRDefault="003824EC" w:rsidP="003824EC">
      <w:pPr>
        <w:pStyle w:val="Heading3"/>
        <w:spacing w:before="80" w:after="80"/>
        <w:rPr>
          <w:rFonts w:ascii="Verdana" w:hAnsi="Verdana" w:cs="Verdana"/>
          <w:color w:val="005597"/>
          <w:sz w:val="22"/>
          <w:szCs w:val="22"/>
        </w:rPr>
      </w:pPr>
      <w:r w:rsidRPr="005F2E13">
        <w:rPr>
          <w:rFonts w:ascii="Verdana" w:hAnsi="Verdana" w:cs="Verdana"/>
          <w:color w:val="005597"/>
          <w:sz w:val="22"/>
          <w:szCs w:val="22"/>
        </w:rPr>
        <w:lastRenderedPageBreak/>
        <w:t xml:space="preserve">SECTION 2: Information </w:t>
      </w:r>
      <w:proofErr w:type="gramStart"/>
      <w:r w:rsidRPr="005F2E13">
        <w:rPr>
          <w:rFonts w:ascii="Verdana" w:hAnsi="Verdana" w:cs="Verdana"/>
          <w:color w:val="005597"/>
          <w:sz w:val="22"/>
          <w:szCs w:val="22"/>
        </w:rPr>
        <w:t>About</w:t>
      </w:r>
      <w:proofErr w:type="gramEnd"/>
      <w:r w:rsidRPr="005F2E13">
        <w:rPr>
          <w:rFonts w:ascii="Verdana" w:hAnsi="Verdana" w:cs="Verdana"/>
          <w:color w:val="005597"/>
          <w:sz w:val="22"/>
          <w:szCs w:val="22"/>
        </w:rPr>
        <w:t xml:space="preserve"> the Nominator/Primary Contact </w:t>
      </w:r>
    </w:p>
    <w:tbl>
      <w:tblPr>
        <w:tblW w:w="0" w:type="auto"/>
        <w:tblLook w:val="01E0"/>
      </w:tblPr>
      <w:tblGrid>
        <w:gridCol w:w="2538"/>
        <w:gridCol w:w="2250"/>
        <w:gridCol w:w="455"/>
        <w:gridCol w:w="1939"/>
        <w:gridCol w:w="2394"/>
      </w:tblGrid>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Name of contact:</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Pr>
                <w:rFonts w:ascii="Verdana" w:hAnsi="Verdana" w:cs="Verdana"/>
                <w:sz w:val="22"/>
                <w:szCs w:val="22"/>
              </w:rPr>
              <w:t>Michael McGreer</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Title:</w:t>
            </w:r>
          </w:p>
        </w:tc>
        <w:tc>
          <w:tcPr>
            <w:tcW w:w="2705" w:type="dxa"/>
            <w:gridSpan w:val="2"/>
          </w:tcPr>
          <w:p w:rsidR="003824EC" w:rsidRPr="00C6477E" w:rsidRDefault="003824EC" w:rsidP="004309F0">
            <w:pPr>
              <w:pStyle w:val="Default"/>
              <w:spacing w:before="80" w:after="80"/>
              <w:rPr>
                <w:rFonts w:ascii="Verdana" w:hAnsi="Verdana" w:cs="Verdana"/>
                <w:sz w:val="22"/>
                <w:szCs w:val="22"/>
              </w:rPr>
            </w:pPr>
            <w:r>
              <w:rPr>
                <w:rFonts w:ascii="Verdana" w:hAnsi="Verdana" w:cs="Verdana"/>
                <w:sz w:val="22"/>
                <w:szCs w:val="22"/>
              </w:rPr>
              <w:t>Economic Development Analyst</w:t>
            </w:r>
          </w:p>
        </w:tc>
        <w:tc>
          <w:tcPr>
            <w:tcW w:w="1939"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Jurisdiction:</w:t>
            </w:r>
          </w:p>
        </w:tc>
        <w:tc>
          <w:tcPr>
            <w:tcW w:w="2394"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City of Surrey, British Columbia</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Street address:</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14245-56 Avenue</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City:</w:t>
            </w:r>
          </w:p>
        </w:tc>
        <w:tc>
          <w:tcPr>
            <w:tcW w:w="2250"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Surrey</w:t>
            </w:r>
          </w:p>
        </w:tc>
        <w:tc>
          <w:tcPr>
            <w:tcW w:w="2394" w:type="dxa"/>
            <w:gridSpan w:val="2"/>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State/Province:</w:t>
            </w:r>
          </w:p>
        </w:tc>
        <w:tc>
          <w:tcPr>
            <w:tcW w:w="2394"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BC</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Zip/Postal Code:</w:t>
            </w:r>
          </w:p>
        </w:tc>
        <w:tc>
          <w:tcPr>
            <w:tcW w:w="2250"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V3X 3A2</w:t>
            </w:r>
          </w:p>
        </w:tc>
        <w:tc>
          <w:tcPr>
            <w:tcW w:w="2394" w:type="dxa"/>
            <w:gridSpan w:val="2"/>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Country:</w:t>
            </w:r>
          </w:p>
        </w:tc>
        <w:tc>
          <w:tcPr>
            <w:tcW w:w="2394"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Canada</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Telephone:</w:t>
            </w:r>
          </w:p>
        </w:tc>
        <w:tc>
          <w:tcPr>
            <w:tcW w:w="2250"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604-591-41</w:t>
            </w:r>
            <w:r>
              <w:rPr>
                <w:rFonts w:ascii="Verdana" w:hAnsi="Verdana" w:cs="Verdana"/>
                <w:sz w:val="22"/>
                <w:szCs w:val="22"/>
                <w:u w:val="single"/>
              </w:rPr>
              <w:t>51</w:t>
            </w:r>
          </w:p>
        </w:tc>
        <w:tc>
          <w:tcPr>
            <w:tcW w:w="2394" w:type="dxa"/>
            <w:gridSpan w:val="2"/>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Fax:</w:t>
            </w:r>
          </w:p>
        </w:tc>
        <w:tc>
          <w:tcPr>
            <w:tcW w:w="2394"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u w:val="single"/>
              </w:rPr>
              <w:t>604-59</w:t>
            </w:r>
            <w:r>
              <w:rPr>
                <w:rFonts w:ascii="Verdana" w:hAnsi="Verdana" w:cs="Verdana"/>
                <w:sz w:val="22"/>
                <w:szCs w:val="22"/>
                <w:u w:val="single"/>
              </w:rPr>
              <w:t>4</w:t>
            </w:r>
            <w:r w:rsidRPr="00C6477E">
              <w:rPr>
                <w:rFonts w:ascii="Verdana" w:hAnsi="Verdana" w:cs="Verdana"/>
                <w:sz w:val="22"/>
                <w:szCs w:val="22"/>
                <w:u w:val="single"/>
              </w:rPr>
              <w:t>-</w:t>
            </w:r>
            <w:r>
              <w:rPr>
                <w:rFonts w:ascii="Verdana" w:hAnsi="Verdana" w:cs="Verdana"/>
                <w:sz w:val="22"/>
                <w:szCs w:val="22"/>
                <w:u w:val="single"/>
              </w:rPr>
              <w:t>3055</w:t>
            </w:r>
          </w:p>
        </w:tc>
      </w:tr>
      <w:tr w:rsidR="003824EC" w:rsidTr="004309F0">
        <w:tc>
          <w:tcPr>
            <w:tcW w:w="2538" w:type="dxa"/>
          </w:tcPr>
          <w:p w:rsidR="003824EC" w:rsidRPr="00C6477E" w:rsidRDefault="003824EC" w:rsidP="004309F0">
            <w:pPr>
              <w:pStyle w:val="Default"/>
              <w:spacing w:before="80" w:after="80"/>
              <w:rPr>
                <w:rFonts w:ascii="Verdana" w:hAnsi="Verdana" w:cs="Verdana"/>
                <w:sz w:val="22"/>
                <w:szCs w:val="22"/>
              </w:rPr>
            </w:pPr>
            <w:r w:rsidRPr="00C6477E">
              <w:rPr>
                <w:rFonts w:ascii="Verdana" w:hAnsi="Verdana" w:cs="Verdana"/>
                <w:sz w:val="22"/>
                <w:szCs w:val="22"/>
              </w:rPr>
              <w:t>E-mail:</w:t>
            </w:r>
          </w:p>
        </w:tc>
        <w:tc>
          <w:tcPr>
            <w:tcW w:w="7038" w:type="dxa"/>
            <w:gridSpan w:val="4"/>
          </w:tcPr>
          <w:p w:rsidR="003824EC" w:rsidRPr="00C6477E" w:rsidRDefault="003824EC" w:rsidP="004309F0">
            <w:pPr>
              <w:pStyle w:val="Default"/>
              <w:spacing w:before="80" w:after="80"/>
              <w:rPr>
                <w:rFonts w:ascii="Verdana" w:hAnsi="Verdana" w:cs="Verdana"/>
                <w:sz w:val="22"/>
                <w:szCs w:val="22"/>
              </w:rPr>
            </w:pPr>
            <w:r>
              <w:rPr>
                <w:rFonts w:ascii="Verdana" w:hAnsi="Verdana" w:cs="Verdana"/>
                <w:sz w:val="22"/>
                <w:szCs w:val="22"/>
                <w:u w:val="single"/>
              </w:rPr>
              <w:t>mmcgreer@surrey.ca</w:t>
            </w:r>
            <w:r w:rsidRPr="00C6477E">
              <w:rPr>
                <w:rFonts w:ascii="Verdana" w:hAnsi="Verdana" w:cs="Verdana"/>
                <w:sz w:val="22"/>
                <w:szCs w:val="22"/>
                <w:u w:val="single"/>
              </w:rPr>
              <w:t xml:space="preserve"> </w:t>
            </w:r>
          </w:p>
        </w:tc>
      </w:tr>
    </w:tbl>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3824EC" w:rsidRPr="00226D1B" w:rsidRDefault="003824EC" w:rsidP="003824EC">
      <w:pPr>
        <w:pStyle w:val="Heading3"/>
        <w:pBdr>
          <w:top w:val="single" w:sz="4" w:space="1" w:color="auto"/>
          <w:left w:val="single" w:sz="4" w:space="4" w:color="auto"/>
          <w:bottom w:val="single" w:sz="4" w:space="1" w:color="auto"/>
          <w:right w:val="single" w:sz="4" w:space="4" w:color="auto"/>
        </w:pBdr>
        <w:rPr>
          <w:rFonts w:ascii="Verdana" w:hAnsi="Verdana" w:cs="Verdana"/>
          <w:color w:val="005597"/>
          <w:sz w:val="22"/>
          <w:szCs w:val="22"/>
        </w:rPr>
      </w:pPr>
      <w:r w:rsidRPr="00226D1B">
        <w:rPr>
          <w:rFonts w:ascii="Verdana" w:hAnsi="Verdana" w:cs="Verdana"/>
          <w:color w:val="005597"/>
          <w:sz w:val="22"/>
          <w:szCs w:val="22"/>
        </w:rPr>
        <w:t xml:space="preserve">Submitting a Nomination </w:t>
      </w:r>
    </w:p>
    <w:p w:rsidR="003824EC" w:rsidRPr="00A233D4" w:rsidRDefault="003824EC" w:rsidP="003824EC">
      <w:pPr>
        <w:pStyle w:val="Default"/>
        <w:pBdr>
          <w:top w:val="single" w:sz="4" w:space="1" w:color="auto"/>
          <w:left w:val="single" w:sz="4" w:space="4" w:color="auto"/>
          <w:bottom w:val="single" w:sz="4" w:space="1" w:color="auto"/>
          <w:right w:val="single" w:sz="4" w:space="4" w:color="auto"/>
        </w:pBdr>
      </w:pPr>
      <w:r w:rsidRPr="005B0F0E">
        <w:rPr>
          <w:rFonts w:ascii="Verdana" w:hAnsi="Verdana" w:cs="Verdana"/>
          <w:sz w:val="22"/>
          <w:szCs w:val="22"/>
        </w:rPr>
        <w:t xml:space="preserve">Forward the nomination form and descriptive narrative to be received at ICMA by close of business on </w:t>
      </w:r>
      <w:r w:rsidRPr="00EF35EA">
        <w:rPr>
          <w:rFonts w:ascii="Verdana" w:hAnsi="Verdana" w:cs="Verdana"/>
          <w:b/>
          <w:sz w:val="22"/>
          <w:szCs w:val="22"/>
        </w:rPr>
        <w:t xml:space="preserve">March </w:t>
      </w:r>
      <w:r>
        <w:rPr>
          <w:rFonts w:ascii="Verdana" w:hAnsi="Verdana" w:cs="Verdana"/>
          <w:b/>
          <w:sz w:val="22"/>
          <w:szCs w:val="22"/>
        </w:rPr>
        <w:t>16</w:t>
      </w:r>
      <w:r w:rsidRPr="00EF35EA">
        <w:rPr>
          <w:rFonts w:ascii="Verdana" w:hAnsi="Verdana" w:cs="Verdana"/>
          <w:b/>
          <w:sz w:val="22"/>
          <w:szCs w:val="22"/>
        </w:rPr>
        <w:t>, 201</w:t>
      </w:r>
      <w:r>
        <w:rPr>
          <w:rFonts w:ascii="Verdana" w:hAnsi="Verdana" w:cs="Verdana"/>
          <w:b/>
          <w:sz w:val="22"/>
          <w:szCs w:val="22"/>
        </w:rPr>
        <w:t>2</w:t>
      </w:r>
      <w:r w:rsidRPr="005B0F0E">
        <w:rPr>
          <w:rFonts w:ascii="Verdana" w:hAnsi="Verdana" w:cs="Verdana"/>
          <w:sz w:val="22"/>
          <w:szCs w:val="22"/>
        </w:rPr>
        <w:t xml:space="preserve">. </w:t>
      </w:r>
      <w:r>
        <w:rPr>
          <w:rFonts w:ascii="Verdana" w:hAnsi="Verdana" w:cs="Verdana"/>
          <w:sz w:val="22"/>
          <w:szCs w:val="22"/>
        </w:rPr>
        <w:t>Please email all submissions</w:t>
      </w:r>
      <w:r w:rsidRPr="005B0F0E">
        <w:rPr>
          <w:rFonts w:ascii="Verdana" w:hAnsi="Verdana" w:cs="Verdana"/>
          <w:sz w:val="22"/>
          <w:szCs w:val="22"/>
        </w:rPr>
        <w:t xml:space="preserve"> to: </w:t>
      </w:r>
      <w:hyperlink r:id="rId10" w:history="1">
        <w:r w:rsidRPr="005B0F0E">
          <w:rPr>
            <w:rStyle w:val="Hyperlink"/>
            <w:rFonts w:ascii="Verdana" w:hAnsi="Verdana" w:cs="Verdana"/>
            <w:sz w:val="22"/>
            <w:szCs w:val="22"/>
          </w:rPr>
          <w:t>awards@icma.org</w:t>
        </w:r>
      </w:hyperlink>
      <w:r>
        <w:t>.</w:t>
      </w:r>
      <w:r w:rsidRPr="005B0F0E">
        <w:rPr>
          <w:rFonts w:ascii="Verdana" w:hAnsi="Verdana" w:cs="Verdana"/>
          <w:sz w:val="22"/>
          <w:szCs w:val="22"/>
        </w:rPr>
        <w:t xml:space="preserve"> </w:t>
      </w:r>
    </w:p>
    <w:p w:rsidR="003824EC" w:rsidRPr="005B0F0E" w:rsidRDefault="003824EC" w:rsidP="003824EC">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p>
    <w:p w:rsidR="003824EC" w:rsidRPr="005B0F0E" w:rsidRDefault="003824EC" w:rsidP="003824EC">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r w:rsidRPr="005B0F0E">
        <w:rPr>
          <w:rFonts w:ascii="Verdana" w:hAnsi="Verdana" w:cs="Verdana"/>
          <w:sz w:val="22"/>
          <w:szCs w:val="22"/>
        </w:rPr>
        <w:t xml:space="preserve">Questions should be addressed to ICMA’s Awards Program at </w:t>
      </w:r>
      <w:hyperlink r:id="rId11" w:history="1">
        <w:r w:rsidRPr="005B0F0E">
          <w:rPr>
            <w:rStyle w:val="Hyperlink"/>
            <w:rFonts w:ascii="Verdana" w:hAnsi="Verdana" w:cs="Verdana"/>
            <w:sz w:val="22"/>
            <w:szCs w:val="22"/>
          </w:rPr>
          <w:t>awards@icma.org</w:t>
        </w:r>
      </w:hyperlink>
      <w:r w:rsidRPr="005B0F0E">
        <w:rPr>
          <w:rFonts w:ascii="Verdana" w:hAnsi="Verdana" w:cs="Verdana"/>
          <w:sz w:val="22"/>
          <w:szCs w:val="22"/>
        </w:rPr>
        <w:t xml:space="preserve"> or 202/</w:t>
      </w:r>
      <w:r>
        <w:rPr>
          <w:rFonts w:ascii="Verdana" w:hAnsi="Verdana" w:cs="Verdana"/>
          <w:sz w:val="22"/>
          <w:szCs w:val="22"/>
        </w:rPr>
        <w:t>962-3656</w:t>
      </w:r>
      <w:r w:rsidRPr="005B0F0E">
        <w:rPr>
          <w:rFonts w:ascii="Verdana" w:hAnsi="Verdana" w:cs="Verdana"/>
          <w:sz w:val="22"/>
          <w:szCs w:val="22"/>
        </w:rPr>
        <w:t>.</w:t>
      </w:r>
    </w:p>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4F1764" w:rsidRPr="00F257E3" w:rsidRDefault="00F26DA5" w:rsidP="00F257E3">
      <w:pPr>
        <w:tabs>
          <w:tab w:val="left" w:pos="1800"/>
        </w:tabs>
        <w:spacing w:line="480" w:lineRule="auto"/>
        <w:rPr>
          <w:rFonts w:ascii="Constantia" w:hAnsi="Constantia" w:cs="Arial"/>
          <w:b/>
          <w:color w:val="3C6D28"/>
          <w:szCs w:val="24"/>
        </w:rPr>
      </w:pPr>
      <w:r>
        <w:rPr>
          <w:rFonts w:ascii="Arial" w:hAnsi="Arial" w:cs="Arial"/>
          <w:b/>
          <w:color w:val="3C6D28"/>
          <w:sz w:val="28"/>
          <w:szCs w:val="22"/>
        </w:rPr>
        <w:br w:type="page"/>
      </w:r>
      <w:r w:rsidR="0078368A" w:rsidRPr="00F257E3">
        <w:rPr>
          <w:rFonts w:ascii="Constantia" w:hAnsi="Constantia" w:cs="Arial"/>
          <w:b/>
          <w:color w:val="3C6D28"/>
          <w:szCs w:val="24"/>
        </w:rPr>
        <w:lastRenderedPageBreak/>
        <w:t>PROJECT SUMMARY</w:t>
      </w:r>
    </w:p>
    <w:p w:rsidR="00ED0CDE" w:rsidRPr="00F257E3" w:rsidRDefault="006412C9" w:rsidP="00F257E3">
      <w:pPr>
        <w:spacing w:line="480" w:lineRule="auto"/>
        <w:ind w:firstLine="720"/>
        <w:rPr>
          <w:rFonts w:ascii="Constantia" w:hAnsi="Constantia" w:cs="Arial"/>
          <w:szCs w:val="24"/>
        </w:rPr>
      </w:pPr>
      <w:r w:rsidRPr="00F257E3">
        <w:rPr>
          <w:rFonts w:ascii="Constantia" w:hAnsi="Constantia" w:cs="Arial"/>
          <w:szCs w:val="24"/>
        </w:rPr>
        <w:t>The  relationship  between  crime  and  broader  social  issues  is  complex  and  interconnected.  In  recognition  of  this  circumstance,  </w:t>
      </w:r>
      <w:r w:rsidR="00E138D5" w:rsidRPr="00F257E3">
        <w:rPr>
          <w:rFonts w:ascii="Constantia" w:hAnsi="Constantia" w:cs="Arial"/>
          <w:szCs w:val="24"/>
        </w:rPr>
        <w:t>the</w:t>
      </w:r>
      <w:r w:rsidRPr="00F257E3">
        <w:rPr>
          <w:rFonts w:ascii="Constantia" w:hAnsi="Constantia" w:cs="Arial"/>
          <w:szCs w:val="24"/>
        </w:rPr>
        <w:t xml:space="preserve">  Surrey  City  Council  adopted  the  City  of  Surrey  Crime  Reduction  Strategy</w:t>
      </w:r>
      <w:r w:rsidR="008D29DF" w:rsidRPr="00F257E3">
        <w:rPr>
          <w:rFonts w:ascii="Constantia" w:hAnsi="Constantia" w:cs="Arial"/>
          <w:szCs w:val="24"/>
        </w:rPr>
        <w:t xml:space="preserve"> (CRS)</w:t>
      </w:r>
      <w:r w:rsidRPr="00F257E3">
        <w:rPr>
          <w:rFonts w:ascii="Constantia" w:hAnsi="Constantia" w:cs="Arial"/>
          <w:szCs w:val="24"/>
        </w:rPr>
        <w:t xml:space="preserve">  </w:t>
      </w:r>
      <w:r w:rsidR="00E138D5" w:rsidRPr="00F257E3">
        <w:rPr>
          <w:rFonts w:ascii="Constantia" w:hAnsi="Constantia" w:cs="Arial"/>
          <w:szCs w:val="24"/>
        </w:rPr>
        <w:t xml:space="preserve"> </w:t>
      </w:r>
      <w:r w:rsidRPr="00F257E3">
        <w:rPr>
          <w:rFonts w:ascii="Constantia" w:hAnsi="Constantia" w:cs="Arial"/>
          <w:szCs w:val="24"/>
        </w:rPr>
        <w:t>to  guide  the  work  of  City  staff  in  collaboration  with  a  variety  of  stakeholders  to  reduce  crime</w:t>
      </w:r>
      <w:r w:rsidR="00E138D5" w:rsidRPr="00F257E3">
        <w:rPr>
          <w:rFonts w:ascii="Constantia" w:hAnsi="Constantia" w:cs="Arial"/>
          <w:szCs w:val="24"/>
        </w:rPr>
        <w:t xml:space="preserve"> by addressing the root causes of crime,</w:t>
      </w:r>
      <w:r w:rsidRPr="00F257E3">
        <w:rPr>
          <w:rFonts w:ascii="Constantia" w:hAnsi="Constantia" w:cs="Arial"/>
          <w:szCs w:val="24"/>
        </w:rPr>
        <w:t xml:space="preserve">  and  increase  public  safety  across  the  City. </w:t>
      </w:r>
      <w:r w:rsidR="00ED0CDE" w:rsidRPr="00F257E3">
        <w:rPr>
          <w:rFonts w:ascii="Constantia" w:hAnsi="Constantia" w:cs="Arial"/>
          <w:szCs w:val="24"/>
        </w:rPr>
        <w:t>The four primary objectives of the Crime Reduction Strategy are:  </w:t>
      </w:r>
    </w:p>
    <w:p w:rsidR="00ED0CDE" w:rsidRPr="00F257E3" w:rsidRDefault="008D29DF" w:rsidP="00F257E3">
      <w:pPr>
        <w:spacing w:line="480" w:lineRule="auto"/>
        <w:ind w:firstLine="720"/>
        <w:rPr>
          <w:rFonts w:ascii="Constantia" w:hAnsi="Constantia" w:cs="Arial"/>
          <w:szCs w:val="24"/>
        </w:rPr>
      </w:pPr>
      <w:r w:rsidRPr="00F257E3">
        <w:rPr>
          <w:rFonts w:ascii="Constantia" w:hAnsi="Constantia" w:cs="Arial"/>
          <w:szCs w:val="24"/>
        </w:rPr>
        <w:t>1. R</w:t>
      </w:r>
      <w:r w:rsidR="00ED0CDE" w:rsidRPr="00F257E3">
        <w:rPr>
          <w:rFonts w:ascii="Constantia" w:hAnsi="Constantia" w:cs="Arial"/>
          <w:szCs w:val="24"/>
        </w:rPr>
        <w:t>educe crime</w:t>
      </w:r>
      <w:r w:rsidRPr="00F257E3">
        <w:rPr>
          <w:rFonts w:ascii="Constantia" w:hAnsi="Constantia" w:cs="Arial"/>
          <w:szCs w:val="24"/>
        </w:rPr>
        <w:t xml:space="preserve"> and </w:t>
      </w:r>
      <w:r w:rsidR="00E95C45" w:rsidRPr="00F257E3">
        <w:rPr>
          <w:rFonts w:ascii="Constantia" w:hAnsi="Constantia" w:cs="Arial"/>
          <w:szCs w:val="24"/>
        </w:rPr>
        <w:t>increase</w:t>
      </w:r>
      <w:r w:rsidR="00ED0CDE" w:rsidRPr="00F257E3">
        <w:rPr>
          <w:rFonts w:ascii="Constantia" w:hAnsi="Constantia" w:cs="Arial"/>
          <w:szCs w:val="24"/>
        </w:rPr>
        <w:t> community safety;  </w:t>
      </w:r>
    </w:p>
    <w:p w:rsidR="00ED0CDE" w:rsidRPr="00F257E3" w:rsidRDefault="008D29DF" w:rsidP="00F257E3">
      <w:pPr>
        <w:spacing w:line="480" w:lineRule="auto"/>
        <w:ind w:firstLine="720"/>
        <w:rPr>
          <w:rFonts w:ascii="Constantia" w:hAnsi="Constantia" w:cs="Arial"/>
          <w:szCs w:val="24"/>
        </w:rPr>
      </w:pPr>
      <w:r w:rsidRPr="00F257E3">
        <w:rPr>
          <w:rFonts w:ascii="Constantia" w:hAnsi="Constantia" w:cs="Arial"/>
          <w:szCs w:val="24"/>
        </w:rPr>
        <w:t>2. I</w:t>
      </w:r>
      <w:r w:rsidR="00ED0CDE" w:rsidRPr="00F257E3">
        <w:rPr>
          <w:rFonts w:ascii="Constantia" w:hAnsi="Constantia" w:cs="Arial"/>
          <w:szCs w:val="24"/>
        </w:rPr>
        <w:t>ncrease public</w:t>
      </w:r>
      <w:r w:rsidRPr="00F257E3">
        <w:rPr>
          <w:rFonts w:ascii="Constantia" w:hAnsi="Constantia" w:cs="Arial"/>
          <w:szCs w:val="24"/>
        </w:rPr>
        <w:t> involvement</w:t>
      </w:r>
      <w:r w:rsidR="00E95C45" w:rsidRPr="00F257E3">
        <w:rPr>
          <w:rFonts w:ascii="Constantia" w:hAnsi="Constantia" w:cs="Arial"/>
          <w:szCs w:val="24"/>
        </w:rPr>
        <w:t xml:space="preserve"> in </w:t>
      </w:r>
      <w:r w:rsidR="00ED0CDE" w:rsidRPr="00F257E3">
        <w:rPr>
          <w:rFonts w:ascii="Constantia" w:hAnsi="Constantia" w:cs="Arial"/>
          <w:szCs w:val="24"/>
        </w:rPr>
        <w:t>reducing crime;  </w:t>
      </w:r>
    </w:p>
    <w:p w:rsidR="00ED0CDE" w:rsidRPr="00F257E3" w:rsidRDefault="00E95C45" w:rsidP="00F257E3">
      <w:pPr>
        <w:spacing w:line="480" w:lineRule="auto"/>
        <w:ind w:firstLine="720"/>
        <w:rPr>
          <w:rFonts w:ascii="Constantia" w:hAnsi="Constantia" w:cs="Arial"/>
          <w:szCs w:val="24"/>
        </w:rPr>
      </w:pPr>
      <w:r w:rsidRPr="00F257E3">
        <w:rPr>
          <w:rFonts w:ascii="Constantia" w:hAnsi="Constantia" w:cs="Arial"/>
          <w:szCs w:val="24"/>
        </w:rPr>
        <w:t>3. Increase integration</w:t>
      </w:r>
      <w:r w:rsidR="008D29DF" w:rsidRPr="00F257E3">
        <w:rPr>
          <w:rFonts w:ascii="Constantia" w:hAnsi="Constantia" w:cs="Arial"/>
          <w:szCs w:val="24"/>
        </w:rPr>
        <w:t xml:space="preserve"> between </w:t>
      </w:r>
      <w:r w:rsidR="0031710E" w:rsidRPr="00F257E3">
        <w:rPr>
          <w:rFonts w:ascii="Constantia" w:hAnsi="Constantia" w:cs="Arial"/>
          <w:szCs w:val="24"/>
        </w:rPr>
        <w:t xml:space="preserve">stakeholders </w:t>
      </w:r>
      <w:r w:rsidR="003D796D" w:rsidRPr="00F257E3">
        <w:rPr>
          <w:rFonts w:ascii="Constantia" w:hAnsi="Constantia" w:cs="Arial"/>
          <w:szCs w:val="24"/>
        </w:rPr>
        <w:t xml:space="preserve">involved </w:t>
      </w:r>
      <w:proofErr w:type="gramStart"/>
      <w:r w:rsidR="003D796D" w:rsidRPr="00F257E3">
        <w:rPr>
          <w:rFonts w:ascii="Constantia" w:hAnsi="Constantia" w:cs="Arial"/>
          <w:szCs w:val="24"/>
        </w:rPr>
        <w:t>in</w:t>
      </w:r>
      <w:r w:rsidR="00ED0CDE" w:rsidRPr="00F257E3">
        <w:rPr>
          <w:rFonts w:ascii="Constantia" w:hAnsi="Constantia" w:cs="Arial"/>
          <w:szCs w:val="24"/>
        </w:rPr>
        <w:t xml:space="preserve">  crime</w:t>
      </w:r>
      <w:proofErr w:type="gramEnd"/>
      <w:r w:rsidR="00ED0CDE" w:rsidRPr="00F257E3">
        <w:rPr>
          <w:rFonts w:ascii="Constantia" w:hAnsi="Constantia" w:cs="Arial"/>
          <w:szCs w:val="24"/>
        </w:rPr>
        <w:t xml:space="preserve">  reduction;  and  </w:t>
      </w:r>
      <w:r w:rsidR="008D29DF" w:rsidRPr="00F257E3">
        <w:rPr>
          <w:rFonts w:ascii="Constantia" w:hAnsi="Constantia" w:cs="Arial"/>
          <w:szCs w:val="24"/>
        </w:rPr>
        <w:tab/>
        <w:t>4. I</w:t>
      </w:r>
      <w:r w:rsidR="00ED0CDE" w:rsidRPr="00F257E3">
        <w:rPr>
          <w:rFonts w:ascii="Constantia" w:hAnsi="Constantia" w:cs="Arial"/>
          <w:szCs w:val="24"/>
        </w:rPr>
        <w:t xml:space="preserve">mprove </w:t>
      </w:r>
      <w:r w:rsidR="008D29DF" w:rsidRPr="00F257E3">
        <w:rPr>
          <w:rFonts w:ascii="Constantia" w:hAnsi="Constantia" w:cs="Arial"/>
          <w:szCs w:val="24"/>
        </w:rPr>
        <w:t xml:space="preserve">public </w:t>
      </w:r>
      <w:r w:rsidR="00ED0CDE" w:rsidRPr="00F257E3">
        <w:rPr>
          <w:rFonts w:ascii="Constantia" w:hAnsi="Constantia" w:cs="Arial"/>
          <w:szCs w:val="24"/>
        </w:rPr>
        <w:t>awarene</w:t>
      </w:r>
      <w:r w:rsidRPr="00F257E3">
        <w:rPr>
          <w:rFonts w:ascii="Constantia" w:hAnsi="Constantia" w:cs="Arial"/>
          <w:szCs w:val="24"/>
        </w:rPr>
        <w:t>ss</w:t>
      </w:r>
      <w:r w:rsidR="00ED0CDE" w:rsidRPr="00F257E3">
        <w:rPr>
          <w:rFonts w:ascii="Constantia" w:hAnsi="Constantia" w:cs="Arial"/>
          <w:szCs w:val="24"/>
        </w:rPr>
        <w:t> </w:t>
      </w:r>
      <w:r w:rsidR="0031710E" w:rsidRPr="00F257E3">
        <w:rPr>
          <w:rFonts w:ascii="Constantia" w:hAnsi="Constantia" w:cs="Arial"/>
          <w:szCs w:val="24"/>
        </w:rPr>
        <w:t>around</w:t>
      </w:r>
      <w:r w:rsidR="00ED0CDE" w:rsidRPr="00F257E3">
        <w:rPr>
          <w:rFonts w:ascii="Constantia" w:hAnsi="Constantia" w:cs="Arial"/>
          <w:szCs w:val="24"/>
        </w:rPr>
        <w:t> </w:t>
      </w:r>
      <w:r w:rsidR="003D796D" w:rsidRPr="00F257E3">
        <w:rPr>
          <w:rFonts w:ascii="Constantia" w:hAnsi="Constantia" w:cs="Arial"/>
          <w:szCs w:val="24"/>
        </w:rPr>
        <w:t xml:space="preserve">the </w:t>
      </w:r>
      <w:proofErr w:type="gramStart"/>
      <w:r w:rsidR="003D796D" w:rsidRPr="00F257E3">
        <w:rPr>
          <w:rFonts w:ascii="Constantia" w:hAnsi="Constantia" w:cs="Arial"/>
          <w:szCs w:val="24"/>
        </w:rPr>
        <w:t>reality</w:t>
      </w:r>
      <w:r w:rsidR="00ED0CDE" w:rsidRPr="00F257E3">
        <w:rPr>
          <w:rFonts w:ascii="Constantia" w:hAnsi="Constantia" w:cs="Arial"/>
          <w:szCs w:val="24"/>
        </w:rPr>
        <w:t xml:space="preserve">  and</w:t>
      </w:r>
      <w:proofErr w:type="gramEnd"/>
      <w:r w:rsidR="00ED0CDE" w:rsidRPr="00F257E3">
        <w:rPr>
          <w:rFonts w:ascii="Constantia" w:hAnsi="Constantia" w:cs="Arial"/>
          <w:szCs w:val="24"/>
        </w:rPr>
        <w:t xml:space="preserve">  perception  of  crime  </w:t>
      </w:r>
    </w:p>
    <w:p w:rsidR="004C7BC1" w:rsidRPr="00F257E3" w:rsidRDefault="004C7BC1" w:rsidP="00F257E3">
      <w:pPr>
        <w:spacing w:line="480" w:lineRule="auto"/>
        <w:rPr>
          <w:rFonts w:ascii="Constantia" w:hAnsi="Constantia" w:cs="Arial"/>
          <w:szCs w:val="24"/>
        </w:rPr>
      </w:pPr>
      <w:r w:rsidRPr="00F257E3">
        <w:rPr>
          <w:rFonts w:ascii="Constantia" w:hAnsi="Constantia" w:cs="Arial"/>
          <w:szCs w:val="24"/>
        </w:rPr>
        <w:t> </w:t>
      </w:r>
      <w:r w:rsidRPr="00F257E3">
        <w:rPr>
          <w:rFonts w:ascii="Constantia" w:hAnsi="Constantia" w:cs="Arial"/>
          <w:szCs w:val="24"/>
        </w:rPr>
        <w:tab/>
        <w:t>These  objectives  are  </w:t>
      </w:r>
      <w:r w:rsidR="008D29DF" w:rsidRPr="00F257E3">
        <w:rPr>
          <w:rFonts w:ascii="Constantia" w:hAnsi="Constantia" w:cs="Arial"/>
          <w:szCs w:val="24"/>
        </w:rPr>
        <w:t>addressed</w:t>
      </w:r>
      <w:r w:rsidRPr="00F257E3">
        <w:rPr>
          <w:rFonts w:ascii="Constantia" w:hAnsi="Constantia" w:cs="Arial"/>
          <w:szCs w:val="24"/>
        </w:rPr>
        <w:t xml:space="preserve">  through  106  recommendations</w:t>
      </w:r>
      <w:r w:rsidR="008D29DF" w:rsidRPr="00F257E3">
        <w:rPr>
          <w:rFonts w:ascii="Constantia" w:hAnsi="Constantia" w:cs="Arial"/>
          <w:szCs w:val="24"/>
        </w:rPr>
        <w:t xml:space="preserve"> contained in the CRS</w:t>
      </w:r>
      <w:r w:rsidRPr="00F257E3">
        <w:rPr>
          <w:rFonts w:ascii="Constantia" w:hAnsi="Constantia" w:cs="Arial"/>
          <w:szCs w:val="24"/>
        </w:rPr>
        <w:t xml:space="preserve">  which  fall  within four  strands:  </w:t>
      </w:r>
    </w:p>
    <w:p w:rsidR="004C7BC1" w:rsidRPr="00F257E3" w:rsidRDefault="004C7BC1" w:rsidP="00F257E3">
      <w:pPr>
        <w:spacing w:line="480" w:lineRule="auto"/>
        <w:ind w:firstLine="720"/>
        <w:rPr>
          <w:rFonts w:ascii="Constantia" w:hAnsi="Constantia" w:cs="Arial"/>
          <w:szCs w:val="24"/>
        </w:rPr>
      </w:pPr>
      <w:r w:rsidRPr="00F257E3">
        <w:rPr>
          <w:rFonts w:ascii="Constantia" w:hAnsi="Constantia" w:cs="Arial"/>
          <w:szCs w:val="24"/>
        </w:rPr>
        <w:t>1. Prevent and deter crime;  </w:t>
      </w:r>
    </w:p>
    <w:p w:rsidR="004C7BC1" w:rsidRPr="00F257E3" w:rsidRDefault="004C7BC1" w:rsidP="00F257E3">
      <w:pPr>
        <w:spacing w:line="480" w:lineRule="auto"/>
        <w:ind w:firstLine="720"/>
        <w:rPr>
          <w:rFonts w:ascii="Constantia" w:hAnsi="Constantia" w:cs="Arial"/>
          <w:szCs w:val="24"/>
        </w:rPr>
      </w:pPr>
      <w:r w:rsidRPr="00F257E3">
        <w:rPr>
          <w:rFonts w:ascii="Constantia" w:hAnsi="Constantia" w:cs="Arial"/>
          <w:szCs w:val="24"/>
        </w:rPr>
        <w:t>2. Apprehend and prosecute offenders;  </w:t>
      </w:r>
    </w:p>
    <w:p w:rsidR="004C7BC1" w:rsidRPr="00F257E3" w:rsidRDefault="004C7BC1" w:rsidP="00F257E3">
      <w:pPr>
        <w:spacing w:line="480" w:lineRule="auto"/>
        <w:ind w:firstLine="720"/>
        <w:rPr>
          <w:rFonts w:ascii="Constantia" w:hAnsi="Constantia" w:cs="Arial"/>
          <w:szCs w:val="24"/>
        </w:rPr>
      </w:pPr>
      <w:r w:rsidRPr="00F257E3">
        <w:rPr>
          <w:rFonts w:ascii="Constantia" w:hAnsi="Constantia" w:cs="Arial"/>
          <w:szCs w:val="24"/>
        </w:rPr>
        <w:t>3. Rehabilitate and reintegrate o</w:t>
      </w:r>
      <w:r w:rsidR="008D29DF" w:rsidRPr="00F257E3">
        <w:rPr>
          <w:rFonts w:ascii="Constantia" w:hAnsi="Constantia" w:cs="Arial"/>
          <w:szCs w:val="24"/>
        </w:rPr>
        <w:t xml:space="preserve">ffenders; </w:t>
      </w:r>
      <w:r w:rsidRPr="00F257E3">
        <w:rPr>
          <w:rFonts w:ascii="Constantia" w:hAnsi="Constantia" w:cs="Arial"/>
          <w:szCs w:val="24"/>
        </w:rPr>
        <w:t>and  </w:t>
      </w:r>
    </w:p>
    <w:p w:rsidR="004C7BC1" w:rsidRPr="00F257E3" w:rsidRDefault="004C7BC1" w:rsidP="00F257E3">
      <w:pPr>
        <w:spacing w:line="480" w:lineRule="auto"/>
        <w:ind w:firstLine="720"/>
        <w:rPr>
          <w:rFonts w:ascii="Constantia" w:hAnsi="Constantia" w:cs="Arial"/>
          <w:szCs w:val="24"/>
        </w:rPr>
      </w:pPr>
      <w:r w:rsidRPr="00F257E3">
        <w:rPr>
          <w:rFonts w:ascii="Constantia" w:hAnsi="Constantia" w:cs="Arial"/>
          <w:color w:val="000000"/>
          <w:szCs w:val="24"/>
        </w:rPr>
        <w:t>4. Reality and Perceptions of Crime.  </w:t>
      </w:r>
    </w:p>
    <w:p w:rsidR="00D57479" w:rsidRPr="00F257E3" w:rsidRDefault="001B17F0" w:rsidP="00F257E3">
      <w:pPr>
        <w:spacing w:line="480" w:lineRule="auto"/>
        <w:ind w:firstLine="720"/>
        <w:rPr>
          <w:rFonts w:ascii="Constantia" w:hAnsi="Constantia" w:cs="Arial"/>
          <w:szCs w:val="24"/>
        </w:rPr>
      </w:pPr>
      <w:r w:rsidRPr="00F257E3">
        <w:rPr>
          <w:rFonts w:ascii="Constantia" w:hAnsi="Constantia" w:cs="Arial"/>
          <w:szCs w:val="24"/>
        </w:rPr>
        <w:t>In 2011</w:t>
      </w:r>
      <w:r w:rsidR="004C7BC1" w:rsidRPr="00F257E3">
        <w:rPr>
          <w:rFonts w:ascii="Constantia" w:hAnsi="Constantia" w:cs="Arial"/>
          <w:szCs w:val="24"/>
        </w:rPr>
        <w:t>, t</w:t>
      </w:r>
      <w:r w:rsidR="00E138D5" w:rsidRPr="00F257E3">
        <w:rPr>
          <w:rFonts w:ascii="Constantia" w:hAnsi="Constantia" w:cs="Arial"/>
          <w:szCs w:val="24"/>
        </w:rPr>
        <w:t xml:space="preserve">he </w:t>
      </w:r>
      <w:r w:rsidR="008D29DF" w:rsidRPr="00F257E3">
        <w:rPr>
          <w:rFonts w:ascii="Constantia" w:hAnsi="Constantia" w:cs="Arial"/>
          <w:szCs w:val="24"/>
        </w:rPr>
        <w:t>CRS</w:t>
      </w:r>
      <w:r w:rsidR="00E138D5" w:rsidRPr="00F257E3">
        <w:rPr>
          <w:rFonts w:ascii="Constantia" w:hAnsi="Constantia" w:cs="Arial"/>
          <w:szCs w:val="24"/>
        </w:rPr>
        <w:t xml:space="preserve"> </w:t>
      </w:r>
      <w:r w:rsidR="004C7BC1" w:rsidRPr="00F257E3">
        <w:rPr>
          <w:rFonts w:ascii="Constantia" w:hAnsi="Constantia" w:cs="Arial"/>
          <w:szCs w:val="24"/>
        </w:rPr>
        <w:t xml:space="preserve">released a 3 year progress report that showed a </w:t>
      </w:r>
      <w:r w:rsidRPr="00F257E3">
        <w:rPr>
          <w:rFonts w:ascii="Constantia" w:hAnsi="Constantia" w:cs="Arial"/>
          <w:szCs w:val="24"/>
        </w:rPr>
        <w:t>10% reduction in total crime between 200</w:t>
      </w:r>
      <w:r w:rsidR="00E95C45" w:rsidRPr="00F257E3">
        <w:rPr>
          <w:rFonts w:ascii="Constantia" w:hAnsi="Constantia" w:cs="Arial"/>
          <w:szCs w:val="24"/>
        </w:rPr>
        <w:t>6 and 2009</w:t>
      </w:r>
      <w:r w:rsidRPr="00F257E3">
        <w:rPr>
          <w:rFonts w:ascii="Constantia" w:hAnsi="Constantia" w:cs="Arial"/>
          <w:szCs w:val="24"/>
        </w:rPr>
        <w:t xml:space="preserve">. </w:t>
      </w:r>
      <w:r w:rsidR="008D29DF" w:rsidRPr="00F257E3">
        <w:rPr>
          <w:rFonts w:ascii="Constantia" w:hAnsi="Constantia" w:cs="Arial"/>
          <w:szCs w:val="24"/>
        </w:rPr>
        <w:t>The City of Surrey attributes program success to the unprecedented level of partnership and collaboration that included Surrey RCMP, Fire Department, Trans</w:t>
      </w:r>
      <w:r w:rsidR="00E95C45" w:rsidRPr="00F257E3">
        <w:rPr>
          <w:rFonts w:ascii="Constantia" w:hAnsi="Constantia" w:cs="Arial"/>
          <w:szCs w:val="24"/>
        </w:rPr>
        <w:t xml:space="preserve">it Police, School District, </w:t>
      </w:r>
      <w:proofErr w:type="gramStart"/>
      <w:r w:rsidR="008D29DF" w:rsidRPr="00F257E3">
        <w:rPr>
          <w:rFonts w:ascii="Constantia" w:hAnsi="Constantia" w:cs="Arial"/>
          <w:szCs w:val="24"/>
        </w:rPr>
        <w:t>University</w:t>
      </w:r>
      <w:proofErr w:type="gramEnd"/>
      <w:r w:rsidR="008D29DF" w:rsidRPr="00F257E3">
        <w:rPr>
          <w:rFonts w:ascii="Constantia" w:hAnsi="Constantia" w:cs="Arial"/>
          <w:szCs w:val="24"/>
        </w:rPr>
        <w:t xml:space="preserve"> of the Fraser Valley, local businesses and over 50 community groups.</w:t>
      </w:r>
    </w:p>
    <w:p w:rsidR="00D57479" w:rsidRPr="00F257E3" w:rsidRDefault="00D57479" w:rsidP="00F257E3">
      <w:pPr>
        <w:spacing w:line="480" w:lineRule="auto"/>
        <w:rPr>
          <w:rFonts w:ascii="Constantia" w:hAnsi="Constantia" w:cs="Arial"/>
          <w:szCs w:val="24"/>
        </w:rPr>
      </w:pPr>
    </w:p>
    <w:p w:rsidR="00724C15" w:rsidRPr="00F257E3" w:rsidRDefault="00E73AA2" w:rsidP="00F257E3">
      <w:pPr>
        <w:tabs>
          <w:tab w:val="left" w:pos="1800"/>
        </w:tabs>
        <w:spacing w:line="480" w:lineRule="auto"/>
        <w:rPr>
          <w:rFonts w:ascii="Constantia" w:hAnsi="Constantia" w:cs="Arial"/>
          <w:b/>
          <w:color w:val="3C6D28"/>
          <w:szCs w:val="24"/>
        </w:rPr>
      </w:pPr>
      <w:r w:rsidRPr="00F257E3">
        <w:rPr>
          <w:rFonts w:ascii="Constantia" w:hAnsi="Constantia" w:cs="Arial"/>
          <w:b/>
          <w:color w:val="3C6D28"/>
          <w:szCs w:val="24"/>
        </w:rPr>
        <w:lastRenderedPageBreak/>
        <w:t>P</w:t>
      </w:r>
      <w:r w:rsidR="00724C15" w:rsidRPr="00F257E3">
        <w:rPr>
          <w:rFonts w:ascii="Constantia" w:hAnsi="Constantia" w:cs="Arial"/>
          <w:b/>
          <w:color w:val="3C6D28"/>
          <w:szCs w:val="24"/>
        </w:rPr>
        <w:t>ROBLEM ASSESSMENT</w:t>
      </w:r>
    </w:p>
    <w:p w:rsidR="006464AC" w:rsidRPr="00F257E3" w:rsidRDefault="003D796D" w:rsidP="00F257E3">
      <w:pPr>
        <w:tabs>
          <w:tab w:val="left" w:pos="1800"/>
        </w:tabs>
        <w:spacing w:line="480" w:lineRule="auto"/>
        <w:rPr>
          <w:rFonts w:ascii="Constantia" w:hAnsi="Constantia" w:cs="Arial"/>
          <w:szCs w:val="24"/>
        </w:rPr>
      </w:pPr>
      <w:r w:rsidRPr="00F257E3">
        <w:rPr>
          <w:rFonts w:ascii="Constantia" w:hAnsi="Constantia" w:cs="Arial"/>
          <w:szCs w:val="24"/>
        </w:rPr>
        <w:t xml:space="preserve">           </w:t>
      </w:r>
      <w:r w:rsidR="004E6817" w:rsidRPr="00F257E3">
        <w:rPr>
          <w:rFonts w:ascii="Constantia" w:hAnsi="Constantia" w:cs="Arial"/>
          <w:szCs w:val="24"/>
        </w:rPr>
        <w:t>In the first half of the previous decade Crime rates in the City of Surrey were higher than the regional average; the crime for total criminal code violations</w:t>
      </w:r>
      <w:r w:rsidR="006A29D8" w:rsidRPr="00F257E3">
        <w:rPr>
          <w:rFonts w:ascii="Constantia" w:hAnsi="Constantia" w:cs="Arial"/>
          <w:szCs w:val="24"/>
        </w:rPr>
        <w:t xml:space="preserve"> were</w:t>
      </w:r>
      <w:r w:rsidR="004E6817" w:rsidRPr="00F257E3">
        <w:rPr>
          <w:rFonts w:ascii="Constantia" w:hAnsi="Constantia" w:cs="Arial"/>
          <w:szCs w:val="24"/>
        </w:rPr>
        <w:t xml:space="preserve"> 114.1 incidents of crime per 1,000 people.  High crimes rates had 3 consequences for the City of Surrey and its residents:</w:t>
      </w:r>
    </w:p>
    <w:p w:rsidR="004E6817" w:rsidRPr="00F257E3" w:rsidRDefault="004E6817" w:rsidP="00F257E3">
      <w:pPr>
        <w:pStyle w:val="ListParagraph"/>
        <w:numPr>
          <w:ilvl w:val="0"/>
          <w:numId w:val="22"/>
        </w:numPr>
        <w:tabs>
          <w:tab w:val="left" w:pos="1800"/>
        </w:tabs>
        <w:spacing w:line="480" w:lineRule="auto"/>
        <w:rPr>
          <w:rFonts w:cs="Arial"/>
          <w:sz w:val="24"/>
          <w:szCs w:val="24"/>
        </w:rPr>
      </w:pPr>
      <w:r w:rsidRPr="00F257E3">
        <w:rPr>
          <w:rFonts w:cs="Arial"/>
          <w:sz w:val="24"/>
          <w:szCs w:val="24"/>
        </w:rPr>
        <w:t>Reduced public safety;</w:t>
      </w:r>
    </w:p>
    <w:p w:rsidR="004E6817" w:rsidRPr="00F257E3" w:rsidRDefault="004E6817" w:rsidP="00F257E3">
      <w:pPr>
        <w:pStyle w:val="ListParagraph"/>
        <w:numPr>
          <w:ilvl w:val="0"/>
          <w:numId w:val="22"/>
        </w:numPr>
        <w:tabs>
          <w:tab w:val="left" w:pos="1800"/>
        </w:tabs>
        <w:spacing w:line="480" w:lineRule="auto"/>
        <w:rPr>
          <w:rFonts w:cs="Arial"/>
          <w:sz w:val="24"/>
          <w:szCs w:val="24"/>
        </w:rPr>
      </w:pPr>
      <w:r w:rsidRPr="00F257E3">
        <w:rPr>
          <w:rFonts w:cs="Arial"/>
          <w:sz w:val="24"/>
          <w:szCs w:val="24"/>
        </w:rPr>
        <w:t>Increased police costs; and</w:t>
      </w:r>
    </w:p>
    <w:p w:rsidR="004E6817" w:rsidRPr="00F257E3" w:rsidRDefault="006A29D8" w:rsidP="00F257E3">
      <w:pPr>
        <w:pStyle w:val="ListParagraph"/>
        <w:numPr>
          <w:ilvl w:val="0"/>
          <w:numId w:val="22"/>
        </w:numPr>
        <w:tabs>
          <w:tab w:val="left" w:pos="1800"/>
        </w:tabs>
        <w:spacing w:line="480" w:lineRule="auto"/>
        <w:rPr>
          <w:rFonts w:cs="Arial"/>
          <w:sz w:val="24"/>
          <w:szCs w:val="24"/>
        </w:rPr>
      </w:pPr>
      <w:r w:rsidRPr="00F257E3">
        <w:rPr>
          <w:rFonts w:cs="Arial"/>
          <w:sz w:val="24"/>
          <w:szCs w:val="24"/>
        </w:rPr>
        <w:t>A negative influence on the perception of the City of Surrey as a place to live and work.</w:t>
      </w:r>
    </w:p>
    <w:p w:rsidR="00724C15" w:rsidRPr="00F257E3" w:rsidRDefault="00724C15" w:rsidP="00F257E3">
      <w:pPr>
        <w:tabs>
          <w:tab w:val="left" w:pos="1800"/>
        </w:tabs>
        <w:spacing w:line="480" w:lineRule="auto"/>
        <w:rPr>
          <w:rFonts w:ascii="Constantia" w:hAnsi="Constantia" w:cs="Arial"/>
          <w:szCs w:val="24"/>
        </w:rPr>
      </w:pPr>
    </w:p>
    <w:p w:rsidR="00157571" w:rsidRPr="00F257E3" w:rsidRDefault="00157571" w:rsidP="00F257E3">
      <w:pPr>
        <w:tabs>
          <w:tab w:val="left" w:pos="1800"/>
        </w:tabs>
        <w:spacing w:line="480" w:lineRule="auto"/>
        <w:rPr>
          <w:rFonts w:ascii="Constantia" w:hAnsi="Constantia" w:cs="Arial"/>
          <w:b/>
          <w:color w:val="3C6D28"/>
          <w:szCs w:val="24"/>
        </w:rPr>
      </w:pPr>
      <w:r w:rsidRPr="00F257E3">
        <w:rPr>
          <w:rFonts w:ascii="Constantia" w:hAnsi="Constantia" w:cs="Arial"/>
          <w:b/>
          <w:color w:val="3C6D28"/>
          <w:szCs w:val="24"/>
        </w:rPr>
        <w:t>PROGRAM IMPLEMENTATION</w:t>
      </w:r>
    </w:p>
    <w:p w:rsidR="008D29DF" w:rsidRPr="00F257E3" w:rsidRDefault="00D86EE7" w:rsidP="00F257E3">
      <w:pPr>
        <w:spacing w:line="480" w:lineRule="auto"/>
        <w:ind w:firstLine="720"/>
        <w:rPr>
          <w:rFonts w:ascii="Constantia" w:hAnsi="Constantia" w:cs="Arial"/>
          <w:szCs w:val="24"/>
        </w:rPr>
      </w:pPr>
      <w:r w:rsidRPr="00F257E3">
        <w:rPr>
          <w:rFonts w:ascii="Constantia" w:hAnsi="Constantia" w:cs="Arial"/>
          <w:szCs w:val="24"/>
        </w:rPr>
        <w:t>In 200</w:t>
      </w:r>
      <w:r w:rsidR="00E95C45" w:rsidRPr="00F257E3">
        <w:rPr>
          <w:rFonts w:ascii="Constantia" w:hAnsi="Constantia" w:cs="Arial"/>
          <w:szCs w:val="24"/>
        </w:rPr>
        <w:t>6</w:t>
      </w:r>
      <w:r w:rsidR="008D29DF" w:rsidRPr="00F257E3">
        <w:rPr>
          <w:rFonts w:ascii="Constantia" w:hAnsi="Constantia" w:cs="Arial"/>
          <w:szCs w:val="24"/>
        </w:rPr>
        <w:t>, a Crime Reduction Manger was hired in the City Manager’s Office to coordinate the programs and collaboration with partners including Surrey RCMP, Fire Department, Tran</w:t>
      </w:r>
      <w:r w:rsidRPr="00F257E3">
        <w:rPr>
          <w:rFonts w:ascii="Constantia" w:hAnsi="Constantia" w:cs="Arial"/>
          <w:szCs w:val="24"/>
        </w:rPr>
        <w:t xml:space="preserve">sit Police, School District, </w:t>
      </w:r>
      <w:proofErr w:type="gramStart"/>
      <w:r w:rsidR="008D29DF" w:rsidRPr="00F257E3">
        <w:rPr>
          <w:rFonts w:ascii="Constantia" w:hAnsi="Constantia" w:cs="Arial"/>
          <w:szCs w:val="24"/>
        </w:rPr>
        <w:t>University</w:t>
      </w:r>
      <w:proofErr w:type="gramEnd"/>
      <w:r w:rsidR="008D29DF" w:rsidRPr="00F257E3">
        <w:rPr>
          <w:rFonts w:ascii="Constantia" w:hAnsi="Constantia" w:cs="Arial"/>
          <w:szCs w:val="24"/>
        </w:rPr>
        <w:t xml:space="preserve"> of the Fraser Valley, local businesses and over 50 community groups.</w:t>
      </w:r>
    </w:p>
    <w:p w:rsidR="00155375" w:rsidRPr="00F257E3" w:rsidRDefault="005624D2" w:rsidP="00F257E3">
      <w:pPr>
        <w:spacing w:line="480" w:lineRule="auto"/>
        <w:ind w:firstLine="720"/>
        <w:rPr>
          <w:rFonts w:ascii="Constantia" w:hAnsi="Constantia"/>
          <w:szCs w:val="24"/>
        </w:rPr>
      </w:pPr>
      <w:r w:rsidRPr="00F257E3">
        <w:rPr>
          <w:rFonts w:ascii="Constantia" w:hAnsi="Constantia"/>
          <w:szCs w:val="24"/>
        </w:rPr>
        <w:t xml:space="preserve">In order to focus the resources of the City and its partners where they would be most effective, </w:t>
      </w:r>
      <w:r w:rsidR="00155375" w:rsidRPr="00F257E3">
        <w:rPr>
          <w:rFonts w:ascii="Constantia" w:hAnsi="Constantia"/>
          <w:szCs w:val="24"/>
        </w:rPr>
        <w:t xml:space="preserve"> </w:t>
      </w:r>
      <w:r w:rsidRPr="00F257E3">
        <w:rPr>
          <w:rFonts w:ascii="Constantia" w:hAnsi="Constantia"/>
          <w:szCs w:val="24"/>
        </w:rPr>
        <w:t>t</w:t>
      </w:r>
      <w:r w:rsidR="00155375" w:rsidRPr="00F257E3">
        <w:rPr>
          <w:rFonts w:ascii="Constantia" w:hAnsi="Constantia"/>
          <w:szCs w:val="24"/>
        </w:rPr>
        <w:t>he  Surrey  RCMP  Detachment  Crime  Analysis  Unit  was  established  </w:t>
      </w:r>
      <w:r w:rsidRPr="00F257E3">
        <w:rPr>
          <w:rFonts w:ascii="Constantia" w:hAnsi="Constantia"/>
          <w:szCs w:val="24"/>
        </w:rPr>
        <w:t>to  help</w:t>
      </w:r>
      <w:r w:rsidR="00155375" w:rsidRPr="00F257E3">
        <w:rPr>
          <w:rFonts w:ascii="Constantia" w:hAnsi="Constantia"/>
          <w:szCs w:val="24"/>
        </w:rPr>
        <w:t xml:space="preserve">  identify  prolific  offenders,  crime  hot  spots  and  problem  premises  in  Surrey.   The  Unit  </w:t>
      </w:r>
      <w:r w:rsidRPr="00F257E3">
        <w:rPr>
          <w:rFonts w:ascii="Constantia" w:hAnsi="Constantia"/>
          <w:szCs w:val="24"/>
        </w:rPr>
        <w:t>generates</w:t>
      </w:r>
      <w:r w:rsidR="00155375" w:rsidRPr="00F257E3">
        <w:rPr>
          <w:rFonts w:ascii="Constantia" w:hAnsi="Constantia"/>
          <w:szCs w:val="24"/>
        </w:rPr>
        <w:t xml:space="preserve">  analysis  documents,  including  weekly  intelligence  briefs  and  crime  analysis  reports  on  emerging  crime  trends  and  crime  hot  spots.   These  reports  have  assisted  the  police  in  targeting  the  available  police  resources  to  maximum  effect.  </w:t>
      </w:r>
    </w:p>
    <w:p w:rsidR="00D86EE7" w:rsidRPr="00F257E3" w:rsidRDefault="00D86EE7" w:rsidP="00F257E3">
      <w:pPr>
        <w:spacing w:line="480" w:lineRule="auto"/>
        <w:rPr>
          <w:rFonts w:ascii="Constantia" w:hAnsi="Constantia" w:cs="Arial"/>
          <w:szCs w:val="24"/>
        </w:rPr>
      </w:pPr>
      <w:r w:rsidRPr="00F257E3">
        <w:rPr>
          <w:rFonts w:ascii="Constantia" w:hAnsi="Constantia" w:cs="Arial"/>
          <w:szCs w:val="24"/>
        </w:rPr>
        <w:lastRenderedPageBreak/>
        <w:tab/>
        <w:t>A critical component to program implementation was to identify and build rel</w:t>
      </w:r>
      <w:r w:rsidR="00E95C45" w:rsidRPr="00F257E3">
        <w:rPr>
          <w:rFonts w:ascii="Constantia" w:hAnsi="Constantia" w:cs="Arial"/>
          <w:szCs w:val="24"/>
        </w:rPr>
        <w:t>ationships with all</w:t>
      </w:r>
      <w:r w:rsidR="00E72217">
        <w:rPr>
          <w:rFonts w:ascii="Constantia" w:hAnsi="Constantia" w:cs="Arial"/>
          <w:szCs w:val="24"/>
        </w:rPr>
        <w:t xml:space="preserve"> relevant</w:t>
      </w:r>
      <w:r w:rsidR="00E95C45" w:rsidRPr="00F257E3">
        <w:rPr>
          <w:rFonts w:ascii="Constantia" w:hAnsi="Constantia" w:cs="Arial"/>
          <w:szCs w:val="24"/>
        </w:rPr>
        <w:t xml:space="preserve"> stakeholders to ensure crime reduction actions were coordinated to maximize effectiveness, reduce duplication and minimize competition between agencies. </w:t>
      </w:r>
      <w:r w:rsidR="001753E2" w:rsidRPr="00F257E3">
        <w:rPr>
          <w:rFonts w:ascii="Constantia" w:hAnsi="Constantia" w:cs="Arial"/>
          <w:szCs w:val="24"/>
        </w:rPr>
        <w:t>Four (4)</w:t>
      </w:r>
      <w:r w:rsidR="00155375" w:rsidRPr="00F257E3">
        <w:rPr>
          <w:rFonts w:ascii="Constantia" w:hAnsi="Constantia" w:cs="Arial"/>
          <w:szCs w:val="24"/>
        </w:rPr>
        <w:t xml:space="preserve"> programs are outlined below that demonstrate the high level of cooperation and integration between agencies.</w:t>
      </w:r>
    </w:p>
    <w:p w:rsidR="00F257E3" w:rsidRDefault="00F257E3" w:rsidP="00F257E3">
      <w:pPr>
        <w:pStyle w:val="Default"/>
        <w:spacing w:line="480" w:lineRule="auto"/>
        <w:rPr>
          <w:b/>
          <w:bCs/>
        </w:rPr>
      </w:pPr>
    </w:p>
    <w:p w:rsidR="00F257E3" w:rsidRDefault="001753E2" w:rsidP="00F257E3">
      <w:pPr>
        <w:pStyle w:val="Default"/>
        <w:spacing w:line="480" w:lineRule="auto"/>
      </w:pPr>
      <w:proofErr w:type="gramStart"/>
      <w:r w:rsidRPr="00F257E3">
        <w:rPr>
          <w:b/>
          <w:bCs/>
        </w:rPr>
        <w:t>Electrical  Fire</w:t>
      </w:r>
      <w:proofErr w:type="gramEnd"/>
      <w:r w:rsidRPr="00F257E3">
        <w:rPr>
          <w:b/>
          <w:bCs/>
        </w:rPr>
        <w:t xml:space="preserve">  Safety  Inspection  Activity</w:t>
      </w:r>
    </w:p>
    <w:p w:rsidR="001753E2" w:rsidRPr="00F257E3" w:rsidRDefault="001753E2" w:rsidP="00F257E3">
      <w:pPr>
        <w:pStyle w:val="Default"/>
        <w:spacing w:line="480" w:lineRule="auto"/>
        <w:ind w:firstLine="360"/>
      </w:pPr>
      <w:r w:rsidRPr="00F257E3">
        <w:t>The  City  of  Surrey  has  been  a  leader  in  developing  and  implementing  alternative  solutions  to  address  public  safety  risks  associated  with  marijuana  grow  operations.  The  City’s  Electrical  Fire  Safety  Inspection  (EFSI)  Program   Fire  Services,  RCMP,  Electrical  Inspections  and  By‐law  Enforcement</w:t>
      </w:r>
      <w:r w:rsidR="007A3882">
        <w:t xml:space="preserve"> are engaged </w:t>
      </w:r>
      <w:r w:rsidRPr="00F257E3">
        <w:t> in  a  process  to  ensure  the  safety</w:t>
      </w:r>
      <w:r w:rsidR="007A3882">
        <w:t xml:space="preserve">  of  homes  in  Surrey. </w:t>
      </w:r>
      <w:proofErr w:type="gramStart"/>
      <w:r w:rsidR="007A3882">
        <w:t xml:space="preserve">Since  </w:t>
      </w:r>
      <w:r w:rsidRPr="00F257E3">
        <w:t>its</w:t>
      </w:r>
      <w:proofErr w:type="gramEnd"/>
      <w:r w:rsidRPr="00F257E3">
        <w:t xml:space="preserve">  inception   EFSI  activity  can  be  summarized  as  follows:  </w:t>
      </w:r>
    </w:p>
    <w:p w:rsidR="00C61415" w:rsidRPr="00F257E3" w:rsidRDefault="00C61415" w:rsidP="00F257E3">
      <w:pPr>
        <w:pStyle w:val="Default"/>
        <w:widowControl w:val="0"/>
        <w:numPr>
          <w:ilvl w:val="0"/>
          <w:numId w:val="25"/>
        </w:numPr>
        <w:spacing w:line="480" w:lineRule="auto"/>
        <w:ind w:left="648"/>
        <w:rPr>
          <w:rFonts w:cs="Verdana"/>
        </w:rPr>
      </w:pPr>
      <w:r w:rsidRPr="00F257E3">
        <w:rPr>
          <w:rFonts w:cs="Verdana"/>
        </w:rPr>
        <w:t>More than 1,460 former grow operations remediated.</w:t>
      </w:r>
    </w:p>
    <w:p w:rsidR="00C61415" w:rsidRPr="00F257E3" w:rsidRDefault="00C61415" w:rsidP="00F257E3">
      <w:pPr>
        <w:pStyle w:val="Default"/>
        <w:widowControl w:val="0"/>
        <w:numPr>
          <w:ilvl w:val="0"/>
          <w:numId w:val="25"/>
        </w:numPr>
        <w:spacing w:line="480" w:lineRule="auto"/>
        <w:ind w:left="648"/>
        <w:rPr>
          <w:rFonts w:cs="Verdana"/>
        </w:rPr>
      </w:pPr>
      <w:r w:rsidRPr="00F257E3">
        <w:rPr>
          <w:rFonts w:cs="Verdana"/>
        </w:rPr>
        <w:t xml:space="preserve">82% </w:t>
      </w:r>
      <w:proofErr w:type="gramStart"/>
      <w:r w:rsidRPr="00F257E3">
        <w:rPr>
          <w:rFonts w:cs="Verdana"/>
        </w:rPr>
        <w:t>reduction in confirmed grow</w:t>
      </w:r>
      <w:proofErr w:type="gramEnd"/>
      <w:r w:rsidRPr="00F257E3">
        <w:rPr>
          <w:rFonts w:cs="Verdana"/>
        </w:rPr>
        <w:t xml:space="preserve"> operations between 2007 and 2011.</w:t>
      </w:r>
    </w:p>
    <w:p w:rsidR="00C61415" w:rsidRPr="00F257E3" w:rsidRDefault="00C61415" w:rsidP="00F257E3">
      <w:pPr>
        <w:pStyle w:val="Default"/>
        <w:widowControl w:val="0"/>
        <w:numPr>
          <w:ilvl w:val="0"/>
          <w:numId w:val="25"/>
        </w:numPr>
        <w:spacing w:line="480" w:lineRule="auto"/>
        <w:ind w:left="648"/>
        <w:rPr>
          <w:rFonts w:cs="Verdana"/>
        </w:rPr>
      </w:pPr>
      <w:r w:rsidRPr="00F257E3">
        <w:rPr>
          <w:rFonts w:cs="Verdana"/>
        </w:rPr>
        <w:t>81% reduction in marijuana production files from 2004 to 2008.</w:t>
      </w:r>
    </w:p>
    <w:p w:rsidR="00F257E3" w:rsidRDefault="00F257E3" w:rsidP="00F257E3">
      <w:pPr>
        <w:pStyle w:val="Default"/>
        <w:spacing w:line="480" w:lineRule="auto"/>
      </w:pPr>
    </w:p>
    <w:p w:rsidR="00155375" w:rsidRPr="00F257E3" w:rsidRDefault="001753E2" w:rsidP="00F257E3">
      <w:pPr>
        <w:pStyle w:val="Default"/>
        <w:spacing w:line="480" w:lineRule="auto"/>
      </w:pPr>
      <w:r w:rsidRPr="00F257E3">
        <w:t> </w:t>
      </w:r>
      <w:r w:rsidR="00D7524F" w:rsidRPr="00F257E3">
        <w:rPr>
          <w:b/>
          <w:bCs/>
        </w:rPr>
        <w:t>WRAP P</w:t>
      </w:r>
      <w:r w:rsidR="00155375" w:rsidRPr="00F257E3">
        <w:rPr>
          <w:b/>
          <w:bCs/>
        </w:rPr>
        <w:t>rogram  </w:t>
      </w:r>
    </w:p>
    <w:p w:rsidR="00F257E3" w:rsidRDefault="00155375" w:rsidP="00F257E3">
      <w:pPr>
        <w:pStyle w:val="Default"/>
        <w:spacing w:line="480" w:lineRule="auto"/>
      </w:pPr>
      <w:r w:rsidRPr="00F257E3">
        <w:rPr>
          <w:b/>
          <w:bCs/>
        </w:rPr>
        <w:t xml:space="preserve"> </w:t>
      </w:r>
      <w:r w:rsidR="003D796D" w:rsidRPr="00F257E3">
        <w:rPr>
          <w:b/>
          <w:bCs/>
        </w:rPr>
        <w:tab/>
      </w:r>
      <w:r w:rsidRPr="00F257E3">
        <w:t>The  RCMP,  the  Surrey  School  District  and  the  City  of  Surrey  have  continued  to  partner  in  the  Wrap  Program,  which  has  served  as  a  means  of  intervention  with  gangs  and  gang</w:t>
      </w:r>
      <w:r w:rsidRPr="00F257E3">
        <w:rPr>
          <w:rFonts w:cs="Cambria Math"/>
        </w:rPr>
        <w:t>‐</w:t>
      </w:r>
      <w:r w:rsidRPr="00F257E3">
        <w:t xml:space="preserve">associated  youth.   The  project  was  launched  in  January  2009  by  the  Surrey  School  District  and  ran  in  partnership  with  the  City,  the  Surrey  RCMP,  the  Integrated  Gang  Task  Force  (up  to  2009)  and  several </w:t>
      </w:r>
      <w:r w:rsidRPr="00F257E3">
        <w:lastRenderedPageBreak/>
        <w:t xml:space="preserve"> community  service  organizations.   Youth  are  referred  by  schools  to  the  Wrap  Team,  who  assess  and  develop  individual  support  plans.   The  Wrap  Team  then  works  to  ensure  all  elements  of  the  plan,  including  support  from  the  student’s  family,  school  and  community,  are  implemented  and  maintained.   The  youth  involved  in  the  program  have  had  reduced  police </w:t>
      </w:r>
      <w:r w:rsidR="00F257E3">
        <w:t> contacts  by  67  per  cent.</w:t>
      </w:r>
    </w:p>
    <w:p w:rsidR="007A7A9E" w:rsidRDefault="00155375" w:rsidP="00F257E3">
      <w:pPr>
        <w:pStyle w:val="Default"/>
        <w:spacing w:line="480" w:lineRule="auto"/>
      </w:pPr>
      <w:r w:rsidRPr="00F257E3">
        <w:t>Although  the  program  is  designed  to  handle  up  to  60  students,  76  students  were  enrolled  by  the  end  of  2010.  </w:t>
      </w:r>
    </w:p>
    <w:p w:rsidR="00511DC9" w:rsidRPr="00F257E3" w:rsidRDefault="00511DC9" w:rsidP="00F257E3">
      <w:pPr>
        <w:pStyle w:val="Default"/>
        <w:spacing w:line="480" w:lineRule="auto"/>
      </w:pPr>
    </w:p>
    <w:p w:rsidR="00E73AA2" w:rsidRPr="00F257E3" w:rsidRDefault="00E73AA2" w:rsidP="00F257E3">
      <w:pPr>
        <w:pStyle w:val="Default"/>
        <w:spacing w:line="480" w:lineRule="auto"/>
      </w:pPr>
      <w:proofErr w:type="gramStart"/>
      <w:r w:rsidRPr="00F257E3">
        <w:rPr>
          <w:b/>
          <w:bCs/>
        </w:rPr>
        <w:t>Crime  Prevention</w:t>
      </w:r>
      <w:proofErr w:type="gramEnd"/>
      <w:r w:rsidRPr="00F257E3">
        <w:rPr>
          <w:b/>
          <w:bCs/>
        </w:rPr>
        <w:t xml:space="preserve">  Through  Environmental  Design  </w:t>
      </w:r>
    </w:p>
    <w:p w:rsidR="00724C15" w:rsidRDefault="00E73AA2" w:rsidP="00F257E3">
      <w:pPr>
        <w:pStyle w:val="Default"/>
        <w:spacing w:line="480" w:lineRule="auto"/>
      </w:pPr>
      <w:r w:rsidRPr="00F257E3">
        <w:rPr>
          <w:b/>
          <w:bCs/>
        </w:rPr>
        <w:t xml:space="preserve"> </w:t>
      </w:r>
      <w:r w:rsidR="00F257E3" w:rsidRPr="00F257E3">
        <w:t xml:space="preserve">           </w:t>
      </w:r>
      <w:r w:rsidRPr="00F257E3">
        <w:t>The  City  and  the  RCMP,  in  partnership  with  residents  and  businesses,  have  focused  on  addressing  environmental  factors  that  attract  or  support  criminal  and  drug  activity.   Applying  proven  Crime  Prevention  through  Environmental  Design  (CPTED)  principles  (i.e.,  improving  lighting  and  sight  lines,  pruning  trees,  removing  unwanted  debris  and  graffiti)  to  sites  and  buildings  across  the  City  has  helped  to  deter  or  eliminate  crime  and  nuisance  activities  in  many  areas.  </w:t>
      </w:r>
    </w:p>
    <w:p w:rsidR="00511DC9" w:rsidRPr="00F257E3" w:rsidRDefault="00511DC9" w:rsidP="00F257E3">
      <w:pPr>
        <w:pStyle w:val="Default"/>
        <w:spacing w:line="480" w:lineRule="auto"/>
        <w:rPr>
          <w:rFonts w:cs="Arial"/>
        </w:rPr>
      </w:pPr>
    </w:p>
    <w:p w:rsidR="006602F8" w:rsidRPr="00F257E3" w:rsidRDefault="001753E2" w:rsidP="00F257E3">
      <w:pPr>
        <w:pStyle w:val="Default"/>
        <w:spacing w:line="480" w:lineRule="auto"/>
      </w:pPr>
      <w:r w:rsidRPr="00F257E3">
        <w:rPr>
          <w:b/>
          <w:bCs/>
        </w:rPr>
        <w:t>Response</w:t>
      </w:r>
      <w:r w:rsidR="00C61415" w:rsidRPr="00F257E3">
        <w:rPr>
          <w:b/>
          <w:bCs/>
        </w:rPr>
        <w:t xml:space="preserve"> to </w:t>
      </w:r>
      <w:proofErr w:type="gramStart"/>
      <w:r w:rsidR="006602F8" w:rsidRPr="00F257E3">
        <w:rPr>
          <w:b/>
          <w:bCs/>
        </w:rPr>
        <w:t>Illegal  Drug</w:t>
      </w:r>
      <w:proofErr w:type="gramEnd"/>
      <w:r w:rsidR="006602F8" w:rsidRPr="00F257E3">
        <w:rPr>
          <w:b/>
          <w:bCs/>
        </w:rPr>
        <w:t xml:space="preserve">  Operations – Expansion of the Meth Watch Program</w:t>
      </w:r>
    </w:p>
    <w:p w:rsidR="00724C15" w:rsidRPr="00F257E3" w:rsidRDefault="006602F8" w:rsidP="00F257E3">
      <w:pPr>
        <w:pStyle w:val="Default"/>
        <w:spacing w:line="480" w:lineRule="auto"/>
        <w:rPr>
          <w:rFonts w:cs="Arial"/>
        </w:rPr>
      </w:pPr>
      <w:r w:rsidRPr="00F257E3">
        <w:rPr>
          <w:b/>
          <w:bCs/>
        </w:rPr>
        <w:t xml:space="preserve"> </w:t>
      </w:r>
      <w:r w:rsidR="00F257E3">
        <w:rPr>
          <w:b/>
          <w:bCs/>
        </w:rPr>
        <w:tab/>
      </w:r>
      <w:r w:rsidRPr="00F257E3">
        <w:t>To  control  the  retail  sale  of  products  that  can  be  used  in  the  production  of  methamphetamine,  the  Surrey  Fire  Service  has  agreed  to  play  a  lead  role  in  the  City’s  Meth  Watch  Program.   This  Program  that  was  launched  in  2007  has  188  participating  businesses  as  of  2010.   Under  the  Program  the  Surrey  Fire  Service  personnel  has  </w:t>
      </w:r>
      <w:r w:rsidR="007A3882" w:rsidRPr="00F257E3">
        <w:t xml:space="preserve">distributing  information   </w:t>
      </w:r>
      <w:r w:rsidRPr="00F257E3">
        <w:t>during  inspections  and  targeted  visits   </w:t>
      </w:r>
      <w:r w:rsidR="007A3882">
        <w:t xml:space="preserve"> </w:t>
      </w:r>
      <w:r w:rsidR="007A3882">
        <w:lastRenderedPageBreak/>
        <w:t>a</w:t>
      </w:r>
      <w:r w:rsidRPr="00F257E3">
        <w:t>bout  what  to  watch  for  in  relation  to  the  sale  of  certain  products  that  can  be  used  as  precursors  to  the  production  of  </w:t>
      </w:r>
      <w:proofErr w:type="spellStart"/>
      <w:r w:rsidRPr="00F257E3">
        <w:t>methamphtamines</w:t>
      </w:r>
      <w:proofErr w:type="spellEnd"/>
      <w:r w:rsidRPr="00F257E3">
        <w:t>.  </w:t>
      </w:r>
    </w:p>
    <w:p w:rsidR="00F257E3" w:rsidRDefault="00F257E3" w:rsidP="00F257E3">
      <w:pPr>
        <w:tabs>
          <w:tab w:val="left" w:pos="1800"/>
        </w:tabs>
        <w:spacing w:line="480" w:lineRule="auto"/>
        <w:rPr>
          <w:rFonts w:ascii="Constantia" w:hAnsi="Constantia" w:cs="Arial"/>
          <w:b/>
          <w:color w:val="3C6D28"/>
          <w:szCs w:val="24"/>
        </w:rPr>
      </w:pPr>
    </w:p>
    <w:p w:rsidR="00724C15" w:rsidRPr="00F257E3" w:rsidRDefault="00724C15" w:rsidP="00F257E3">
      <w:pPr>
        <w:tabs>
          <w:tab w:val="left" w:pos="1800"/>
        </w:tabs>
        <w:spacing w:line="480" w:lineRule="auto"/>
        <w:rPr>
          <w:rFonts w:ascii="Constantia" w:hAnsi="Constantia" w:cs="Arial"/>
          <w:b/>
          <w:color w:val="3C6D28"/>
          <w:szCs w:val="24"/>
        </w:rPr>
      </w:pPr>
      <w:r w:rsidRPr="00F257E3">
        <w:rPr>
          <w:rFonts w:ascii="Constantia" w:hAnsi="Constantia" w:cs="Arial"/>
          <w:b/>
          <w:color w:val="3C6D28"/>
          <w:szCs w:val="24"/>
        </w:rPr>
        <w:t>RESULTS AND OUTCOMES</w:t>
      </w:r>
    </w:p>
    <w:p w:rsidR="00A8752C" w:rsidRPr="00F257E3" w:rsidRDefault="00A8752C" w:rsidP="00F257E3">
      <w:pPr>
        <w:spacing w:line="480" w:lineRule="auto"/>
        <w:ind w:firstLine="720"/>
        <w:rPr>
          <w:rFonts w:ascii="Constantia" w:hAnsi="Constantia" w:cs="Arial"/>
          <w:szCs w:val="24"/>
        </w:rPr>
      </w:pPr>
      <w:r w:rsidRPr="00F257E3">
        <w:rPr>
          <w:rFonts w:ascii="Constantia" w:hAnsi="Constantia" w:cs="Arial"/>
          <w:szCs w:val="24"/>
        </w:rPr>
        <w:t>The  Surrey  RCMP  have  reported  continue</w:t>
      </w:r>
      <w:r w:rsidR="007A7A9E" w:rsidRPr="00F257E3">
        <w:rPr>
          <w:rFonts w:ascii="Constantia" w:hAnsi="Constantia" w:cs="Arial"/>
          <w:szCs w:val="24"/>
        </w:rPr>
        <w:t xml:space="preserve">d  decreases  in  crime  rates </w:t>
      </w:r>
      <w:r w:rsidRPr="00F257E3">
        <w:rPr>
          <w:rFonts w:ascii="Constantia" w:hAnsi="Constantia" w:cs="Arial"/>
          <w:szCs w:val="24"/>
        </w:rPr>
        <w:t>from  2006  –  2009  as  noted  below  in  Table  1</w:t>
      </w:r>
      <w:r w:rsidR="007A7A9E" w:rsidRPr="00F257E3">
        <w:rPr>
          <w:rFonts w:ascii="Constantia" w:hAnsi="Constantia" w:cs="Arial"/>
          <w:szCs w:val="24"/>
        </w:rPr>
        <w:t>.</w:t>
      </w:r>
      <w:r w:rsidRPr="00F257E3">
        <w:rPr>
          <w:rFonts w:ascii="Constantia" w:hAnsi="Constantia" w:cs="Arial"/>
          <w:szCs w:val="24"/>
        </w:rPr>
        <w:t xml:space="preserve">  </w:t>
      </w:r>
    </w:p>
    <w:p w:rsidR="00A8752C" w:rsidRPr="00F257E3" w:rsidRDefault="00A8752C" w:rsidP="00F257E3">
      <w:pPr>
        <w:spacing w:line="480" w:lineRule="auto"/>
        <w:rPr>
          <w:rFonts w:ascii="Constantia" w:hAnsi="Constantia" w:cs="Arial"/>
          <w:szCs w:val="24"/>
        </w:rPr>
      </w:pPr>
      <w:proofErr w:type="gramStart"/>
      <w:r w:rsidRPr="00F257E3">
        <w:rPr>
          <w:rFonts w:ascii="Constantia" w:hAnsi="Constantia" w:cs="Arial"/>
          <w:b/>
          <w:bCs/>
          <w:szCs w:val="24"/>
        </w:rPr>
        <w:t>TABLE  1</w:t>
      </w:r>
      <w:proofErr w:type="gramEnd"/>
      <w:r w:rsidRPr="00F257E3">
        <w:rPr>
          <w:rFonts w:ascii="Constantia" w:hAnsi="Constantia" w:cs="Arial"/>
          <w:b/>
          <w:bCs/>
          <w:szCs w:val="24"/>
        </w:rPr>
        <w:t xml:space="preserve">    Percentage  Decrease  in  Crime  Rates  2006  –  2009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6046"/>
        <w:gridCol w:w="2552"/>
      </w:tblGrid>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b/>
                <w:bCs/>
                <w:szCs w:val="24"/>
              </w:rPr>
              <w:t>Type  of  Crime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b/>
                <w:bCs/>
                <w:szCs w:val="24"/>
              </w:rPr>
              <w:t>%  Decrease  2006  –  2009  </w:t>
            </w:r>
          </w:p>
        </w:tc>
      </w:tr>
      <w:tr w:rsidR="00A8752C" w:rsidRPr="00F257E3">
        <w:trPr>
          <w:trHeight w:val="278"/>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 xml:space="preserve">  </w:t>
            </w:r>
          </w:p>
        </w:tc>
      </w:tr>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Total  Criminal  Code</w:t>
            </w:r>
            <w:r w:rsidRPr="00F257E3">
              <w:rPr>
                <w:rFonts w:ascii="Constantia" w:hAnsi="Constantia" w:cs="Arial"/>
                <w:b/>
                <w:bCs/>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10%</w:t>
            </w:r>
            <w:r w:rsidRPr="00F257E3">
              <w:rPr>
                <w:rFonts w:ascii="Constantia" w:hAnsi="Constantia" w:cs="Arial"/>
                <w:b/>
                <w:bCs/>
                <w:szCs w:val="24"/>
              </w:rPr>
              <w:t xml:space="preserve">  </w:t>
            </w:r>
          </w:p>
        </w:tc>
      </w:tr>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Property  Crime  (Total)</w:t>
            </w:r>
            <w:r w:rsidRPr="00F257E3">
              <w:rPr>
                <w:rFonts w:ascii="Constantia" w:hAnsi="Constantia" w:cs="Arial"/>
                <w:b/>
                <w:bCs/>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19%</w:t>
            </w:r>
            <w:r w:rsidRPr="00F257E3">
              <w:rPr>
                <w:rFonts w:ascii="Constantia" w:hAnsi="Constantia" w:cs="Arial"/>
                <w:b/>
                <w:bCs/>
                <w:szCs w:val="24"/>
              </w:rPr>
              <w:t xml:space="preserve">  </w:t>
            </w:r>
          </w:p>
        </w:tc>
      </w:tr>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Violent  Crime  (Total)</w:t>
            </w:r>
            <w:r w:rsidRPr="00F257E3">
              <w:rPr>
                <w:rFonts w:ascii="Constantia" w:hAnsi="Constantia" w:cs="Arial"/>
                <w:b/>
                <w:bCs/>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5%</w:t>
            </w:r>
            <w:r w:rsidRPr="00F257E3">
              <w:rPr>
                <w:rFonts w:ascii="Constantia" w:hAnsi="Constantia" w:cs="Arial"/>
                <w:b/>
                <w:bCs/>
                <w:szCs w:val="24"/>
              </w:rPr>
              <w:t xml:space="preserve">  </w:t>
            </w:r>
          </w:p>
        </w:tc>
      </w:tr>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Breaking  and  Entering  </w:t>
            </w:r>
            <w:r w:rsidRPr="00F257E3">
              <w:rPr>
                <w:rFonts w:ascii="Constantia" w:hAnsi="Constantia" w:cs="Arial"/>
                <w:b/>
                <w:bCs/>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20%</w:t>
            </w:r>
            <w:r w:rsidRPr="00F257E3">
              <w:rPr>
                <w:rFonts w:ascii="Constantia" w:hAnsi="Constantia" w:cs="Arial"/>
                <w:b/>
                <w:bCs/>
                <w:szCs w:val="24"/>
              </w:rPr>
              <w:t xml:space="preserve">  </w:t>
            </w:r>
          </w:p>
        </w:tc>
      </w:tr>
      <w:tr w:rsidR="00A8752C" w:rsidRPr="00F257E3">
        <w:trPr>
          <w:trHeight w:val="281"/>
        </w:trPr>
        <w:tc>
          <w:tcPr>
            <w:tcW w:w="6046"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Motor  Vehicle  Theft  </w:t>
            </w:r>
            <w:r w:rsidRPr="00F257E3">
              <w:rPr>
                <w:rFonts w:ascii="Constantia" w:hAnsi="Constantia" w:cs="Arial"/>
                <w:b/>
                <w:bCs/>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A8752C" w:rsidRPr="00F257E3" w:rsidRDefault="00A8752C" w:rsidP="00F257E3">
            <w:pPr>
              <w:rPr>
                <w:rFonts w:ascii="Constantia" w:hAnsi="Constantia" w:cs="Arial"/>
                <w:szCs w:val="24"/>
              </w:rPr>
            </w:pPr>
            <w:r w:rsidRPr="00F257E3">
              <w:rPr>
                <w:rFonts w:ascii="Constantia" w:hAnsi="Constantia" w:cs="Arial"/>
                <w:szCs w:val="24"/>
              </w:rPr>
              <w:t>24%</w:t>
            </w:r>
            <w:r w:rsidRPr="00F257E3">
              <w:rPr>
                <w:rFonts w:ascii="Constantia" w:hAnsi="Constantia" w:cs="Arial"/>
                <w:b/>
                <w:bCs/>
                <w:szCs w:val="24"/>
              </w:rPr>
              <w:t xml:space="preserve">  </w:t>
            </w:r>
          </w:p>
        </w:tc>
      </w:tr>
    </w:tbl>
    <w:p w:rsidR="009B6FC7" w:rsidRPr="00F257E3" w:rsidRDefault="009B6FC7" w:rsidP="00F257E3">
      <w:pPr>
        <w:spacing w:line="480" w:lineRule="auto"/>
        <w:rPr>
          <w:rFonts w:ascii="Constantia" w:hAnsi="Constantia" w:cs="Arial"/>
          <w:szCs w:val="24"/>
        </w:rPr>
      </w:pPr>
    </w:p>
    <w:p w:rsidR="00F257E3" w:rsidRDefault="009B6FC7" w:rsidP="00511DC9">
      <w:pPr>
        <w:spacing w:line="480" w:lineRule="auto"/>
        <w:ind w:firstLine="720"/>
        <w:rPr>
          <w:rFonts w:ascii="Constantia" w:hAnsi="Constantia" w:cs="Arial"/>
          <w:b/>
          <w:color w:val="3C6D28"/>
          <w:szCs w:val="24"/>
        </w:rPr>
      </w:pPr>
      <w:r w:rsidRPr="00F257E3">
        <w:rPr>
          <w:rFonts w:ascii="Constantia" w:hAnsi="Constantia" w:cs="Arial"/>
          <w:szCs w:val="24"/>
        </w:rPr>
        <w:t xml:space="preserve">In addition to significant reductions in crime, the perception of the City of Surrey from both residents of Surrey and across the region has improved. </w:t>
      </w:r>
      <w:r w:rsidR="00511DC9">
        <w:rPr>
          <w:rFonts w:ascii="Constantia" w:hAnsi="Constantia"/>
          <w:lang w:val="en-CA"/>
        </w:rPr>
        <w:t>The City of Surrey’s Crime Reduction Strategy won the 2011 Solicitor General, Crime Prevention and Community Safety Award, in the local government category.  The award recognizes outstanding leadership in the area of promoting and implementing crime prevention and community safety strategies. </w:t>
      </w:r>
    </w:p>
    <w:p w:rsidR="00235087" w:rsidRDefault="00724C15" w:rsidP="00F257E3">
      <w:pPr>
        <w:tabs>
          <w:tab w:val="left" w:pos="1800"/>
        </w:tabs>
        <w:spacing w:line="480" w:lineRule="auto"/>
        <w:rPr>
          <w:rFonts w:ascii="Constantia" w:hAnsi="Constantia" w:cs="Arial"/>
          <w:b/>
          <w:color w:val="3C6D28"/>
          <w:szCs w:val="24"/>
        </w:rPr>
      </w:pPr>
      <w:r w:rsidRPr="00F257E3">
        <w:rPr>
          <w:rFonts w:ascii="Constantia" w:hAnsi="Constantia" w:cs="Arial"/>
          <w:b/>
          <w:color w:val="3C6D28"/>
          <w:szCs w:val="24"/>
        </w:rPr>
        <w:t>LESSONS LEARNED</w:t>
      </w:r>
    </w:p>
    <w:p w:rsidR="00B834A0" w:rsidRPr="00235087" w:rsidRDefault="00235087" w:rsidP="00F257E3">
      <w:pPr>
        <w:tabs>
          <w:tab w:val="left" w:pos="1800"/>
        </w:tabs>
        <w:spacing w:line="480" w:lineRule="auto"/>
        <w:rPr>
          <w:rFonts w:ascii="Constantia" w:hAnsi="Constantia" w:cs="Arial"/>
          <w:b/>
          <w:color w:val="3C6D28"/>
          <w:szCs w:val="24"/>
        </w:rPr>
      </w:pPr>
      <w:r>
        <w:rPr>
          <w:rFonts w:ascii="Constantia" w:hAnsi="Constantia" w:cs="Arial"/>
          <w:b/>
          <w:color w:val="3C6D28"/>
          <w:szCs w:val="24"/>
        </w:rPr>
        <w:t xml:space="preserve">            </w:t>
      </w:r>
      <w:r w:rsidR="00F257E3">
        <w:rPr>
          <w:rFonts w:ascii="Constantia" w:hAnsi="Constantia" w:cs="Arial"/>
          <w:szCs w:val="24"/>
        </w:rPr>
        <w:t>Highly integrated and coordinated action from all stakeholders involved in crime reducti</w:t>
      </w:r>
      <w:r>
        <w:rPr>
          <w:rFonts w:ascii="Constantia" w:hAnsi="Constantia" w:cs="Arial"/>
          <w:szCs w:val="24"/>
        </w:rPr>
        <w:t>on activities will increase program effectiveness by maximizing shared resources and reducing duplication. Also, communicating successes is important to improve the perception of crime among residents, where the perception can be worse than the reality.</w:t>
      </w:r>
    </w:p>
    <w:sectPr w:rsidR="00B834A0" w:rsidRPr="00235087" w:rsidSect="004F1764">
      <w:headerReference w:type="default" r:id="rId12"/>
      <w:footerReference w:type="even" r:id="rId13"/>
      <w:footerReference w:type="default" r:id="rId14"/>
      <w:pgSz w:w="12240" w:h="15840"/>
      <w:pgMar w:top="1134" w:right="1440" w:bottom="851"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B5" w:rsidRDefault="002752B5" w:rsidP="00377802">
      <w:r>
        <w:separator/>
      </w:r>
    </w:p>
  </w:endnote>
  <w:endnote w:type="continuationSeparator" w:id="0">
    <w:p w:rsidR="002752B5" w:rsidRDefault="002752B5" w:rsidP="003778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82" w:rsidRDefault="00856D73">
    <w:pPr>
      <w:pStyle w:val="Footer"/>
      <w:framePr w:wrap="around" w:vAnchor="text" w:hAnchor="margin" w:xAlign="right" w:y="1"/>
      <w:rPr>
        <w:rStyle w:val="PageNumber"/>
      </w:rPr>
    </w:pPr>
    <w:r>
      <w:rPr>
        <w:rStyle w:val="PageNumber"/>
      </w:rPr>
      <w:fldChar w:fldCharType="begin"/>
    </w:r>
    <w:r w:rsidR="007A3882">
      <w:rPr>
        <w:rStyle w:val="PageNumber"/>
      </w:rPr>
      <w:instrText xml:space="preserve">PAGE  </w:instrText>
    </w:r>
    <w:r>
      <w:rPr>
        <w:rStyle w:val="PageNumber"/>
      </w:rPr>
      <w:fldChar w:fldCharType="end"/>
    </w:r>
  </w:p>
  <w:p w:rsidR="007A3882" w:rsidRDefault="007A38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82" w:rsidRDefault="00856D73">
    <w:pPr>
      <w:pStyle w:val="Footer"/>
      <w:framePr w:wrap="around" w:vAnchor="text" w:hAnchor="margin" w:xAlign="right" w:y="1"/>
      <w:rPr>
        <w:rStyle w:val="PageNumber"/>
      </w:rPr>
    </w:pPr>
    <w:r>
      <w:rPr>
        <w:rStyle w:val="PageNumber"/>
      </w:rPr>
      <w:fldChar w:fldCharType="begin"/>
    </w:r>
    <w:r w:rsidR="007A3882">
      <w:rPr>
        <w:rStyle w:val="PageNumber"/>
      </w:rPr>
      <w:instrText xml:space="preserve">PAGE  </w:instrText>
    </w:r>
    <w:r>
      <w:rPr>
        <w:rStyle w:val="PageNumber"/>
      </w:rPr>
      <w:fldChar w:fldCharType="separate"/>
    </w:r>
    <w:r w:rsidR="004E3562">
      <w:rPr>
        <w:rStyle w:val="PageNumber"/>
        <w:noProof/>
      </w:rPr>
      <w:t>2</w:t>
    </w:r>
    <w:r>
      <w:rPr>
        <w:rStyle w:val="PageNumber"/>
      </w:rPr>
      <w:fldChar w:fldCharType="end"/>
    </w:r>
  </w:p>
  <w:p w:rsidR="007A3882" w:rsidRDefault="007A38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B5" w:rsidRDefault="002752B5" w:rsidP="00377802">
      <w:r>
        <w:separator/>
      </w:r>
    </w:p>
  </w:footnote>
  <w:footnote w:type="continuationSeparator" w:id="0">
    <w:p w:rsidR="002752B5" w:rsidRDefault="002752B5" w:rsidP="00377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82" w:rsidRPr="00724C15" w:rsidRDefault="007A3882">
    <w:pPr>
      <w:pStyle w:val="Header"/>
      <w:jc w:val="right"/>
      <w:rPr>
        <w:rFonts w:ascii="Helvetica" w:hAnsi="Helvetica"/>
        <w:color w:val="808080"/>
        <w:sz w:val="20"/>
        <w:lang w:val="en-CA"/>
      </w:rPr>
    </w:pPr>
    <w:r>
      <w:rPr>
        <w:rFonts w:ascii="Helvetica" w:hAnsi="Helvetica"/>
        <w:color w:val="808080"/>
        <w:sz w:val="20"/>
        <w:lang w:val="en-CA"/>
      </w:rPr>
      <w:t>2012 Program Excellence Awards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08B0A"/>
    <w:multiLevelType w:val="hybridMultilevel"/>
    <w:tmpl w:val="C3A82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nsid w:val="00000006"/>
    <w:multiLevelType w:val="singleLevel"/>
    <w:tmpl w:val="000F0409"/>
    <w:lvl w:ilvl="0">
      <w:start w:val="1"/>
      <w:numFmt w:val="decimal"/>
      <w:lvlText w:val="%1."/>
      <w:lvlJc w:val="left"/>
      <w:pPr>
        <w:tabs>
          <w:tab w:val="num" w:pos="360"/>
        </w:tabs>
        <w:ind w:left="360" w:hanging="360"/>
      </w:pPr>
    </w:lvl>
  </w:abstractNum>
  <w:abstractNum w:abstractNumId="5">
    <w:nsid w:val="00000007"/>
    <w:multiLevelType w:val="singleLevel"/>
    <w:tmpl w:val="000F0409"/>
    <w:lvl w:ilvl="0">
      <w:start w:val="1"/>
      <w:numFmt w:val="decimal"/>
      <w:lvlText w:val="%1."/>
      <w:lvlJc w:val="left"/>
      <w:pPr>
        <w:tabs>
          <w:tab w:val="num" w:pos="360"/>
        </w:tabs>
        <w:ind w:left="360" w:hanging="360"/>
      </w:pPr>
    </w:lvl>
  </w:abstractNum>
  <w:abstractNum w:abstractNumId="6">
    <w:nsid w:val="03377DA1"/>
    <w:multiLevelType w:val="hybridMultilevel"/>
    <w:tmpl w:val="EEEA4802"/>
    <w:lvl w:ilvl="0" w:tplc="0710475A">
      <w:start w:val="1"/>
      <w:numFmt w:val="bullet"/>
      <w:lvlText w:val=""/>
      <w:lvlJc w:val="left"/>
      <w:pPr>
        <w:ind w:left="1188" w:hanging="288"/>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1BE558E"/>
    <w:multiLevelType w:val="hybridMultilevel"/>
    <w:tmpl w:val="F000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3333B"/>
    <w:multiLevelType w:val="hybridMultilevel"/>
    <w:tmpl w:val="449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979BA"/>
    <w:multiLevelType w:val="hybridMultilevel"/>
    <w:tmpl w:val="F63AC424"/>
    <w:lvl w:ilvl="0" w:tplc="D5326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7206D0E"/>
    <w:multiLevelType w:val="hybridMultilevel"/>
    <w:tmpl w:val="0E3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826C6"/>
    <w:multiLevelType w:val="hybridMultilevel"/>
    <w:tmpl w:val="C45478CC"/>
    <w:lvl w:ilvl="0" w:tplc="268C4D4C">
      <w:start w:val="1"/>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A9D7EDB"/>
    <w:multiLevelType w:val="hybridMultilevel"/>
    <w:tmpl w:val="1AF69346"/>
    <w:lvl w:ilvl="0" w:tplc="E828DFAA">
      <w:start w:val="1"/>
      <w:numFmt w:val="bullet"/>
      <w:lvlText w:val="-"/>
      <w:lvlJc w:val="left"/>
      <w:pPr>
        <w:ind w:left="1080" w:hanging="360"/>
      </w:pPr>
      <w:rPr>
        <w:rFonts w:ascii="Arial" w:eastAsia="Time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5140EEC"/>
    <w:multiLevelType w:val="hybridMultilevel"/>
    <w:tmpl w:val="6832E0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C2E62B6"/>
    <w:multiLevelType w:val="hybridMultilevel"/>
    <w:tmpl w:val="4DC4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1C2547"/>
    <w:multiLevelType w:val="hybridMultilevel"/>
    <w:tmpl w:val="7D1E73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B8F6C5F"/>
    <w:multiLevelType w:val="hybridMultilevel"/>
    <w:tmpl w:val="211463B0"/>
    <w:lvl w:ilvl="0" w:tplc="0409000F">
      <w:start w:val="1"/>
      <w:numFmt w:val="decimal"/>
      <w:lvlText w:val="%1."/>
      <w:lvlJc w:val="left"/>
      <w:pPr>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6AD712E"/>
    <w:multiLevelType w:val="hybridMultilevel"/>
    <w:tmpl w:val="35D48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77C6E99"/>
    <w:multiLevelType w:val="hybridMultilevel"/>
    <w:tmpl w:val="8B665F6C"/>
    <w:lvl w:ilvl="0" w:tplc="13D04EC0">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A451F0"/>
    <w:multiLevelType w:val="hybridMultilevel"/>
    <w:tmpl w:val="6CF69F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0474B29"/>
    <w:multiLevelType w:val="hybridMultilevel"/>
    <w:tmpl w:val="6658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F83319C"/>
    <w:multiLevelType w:val="hybridMultilevel"/>
    <w:tmpl w:val="F0E0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8840A2"/>
    <w:multiLevelType w:val="hybridMultilevel"/>
    <w:tmpl w:val="8BA834B8"/>
    <w:lvl w:ilvl="0" w:tplc="3C866E00">
      <w:start w:val="1"/>
      <w:numFmt w:val="bullet"/>
      <w:lvlText w:val="-"/>
      <w:lvlJc w:val="left"/>
      <w:pPr>
        <w:ind w:left="1080" w:hanging="360"/>
      </w:pPr>
      <w:rPr>
        <w:rFonts w:ascii="Arial" w:eastAsia="Time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27E2C8B"/>
    <w:multiLevelType w:val="hybridMultilevel"/>
    <w:tmpl w:val="F13AC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D493B"/>
    <w:multiLevelType w:val="hybridMultilevel"/>
    <w:tmpl w:val="40E03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6"/>
  </w:num>
  <w:num w:numId="7">
    <w:abstractNumId w:val="23"/>
  </w:num>
  <w:num w:numId="8">
    <w:abstractNumId w:val="18"/>
  </w:num>
  <w:num w:numId="9">
    <w:abstractNumId w:val="9"/>
  </w:num>
  <w:num w:numId="10">
    <w:abstractNumId w:val="11"/>
  </w:num>
  <w:num w:numId="11">
    <w:abstractNumId w:val="12"/>
  </w:num>
  <w:num w:numId="12">
    <w:abstractNumId w:val="22"/>
  </w:num>
  <w:num w:numId="13">
    <w:abstractNumId w:val="15"/>
  </w:num>
  <w:num w:numId="14">
    <w:abstractNumId w:val="13"/>
  </w:num>
  <w:num w:numId="15">
    <w:abstractNumId w:val="24"/>
  </w:num>
  <w:num w:numId="16">
    <w:abstractNumId w:val="19"/>
  </w:num>
  <w:num w:numId="17">
    <w:abstractNumId w:val="20"/>
  </w:num>
  <w:num w:numId="18">
    <w:abstractNumId w:val="21"/>
  </w:num>
  <w:num w:numId="19">
    <w:abstractNumId w:val="14"/>
  </w:num>
  <w:num w:numId="20">
    <w:abstractNumId w:val="0"/>
  </w:num>
  <w:num w:numId="21">
    <w:abstractNumId w:val="7"/>
  </w:num>
  <w:num w:numId="22">
    <w:abstractNumId w:val="8"/>
  </w:num>
  <w:num w:numId="23">
    <w:abstractNumId w:val="17"/>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62434E"/>
    <w:rsid w:val="00014504"/>
    <w:rsid w:val="000245E3"/>
    <w:rsid w:val="000451C2"/>
    <w:rsid w:val="00053CB5"/>
    <w:rsid w:val="00060D33"/>
    <w:rsid w:val="0006109E"/>
    <w:rsid w:val="000633D3"/>
    <w:rsid w:val="00073285"/>
    <w:rsid w:val="00096CD1"/>
    <w:rsid w:val="000A01BB"/>
    <w:rsid w:val="000E0000"/>
    <w:rsid w:val="000F3BE5"/>
    <w:rsid w:val="001049D0"/>
    <w:rsid w:val="0011090D"/>
    <w:rsid w:val="00132B81"/>
    <w:rsid w:val="00155375"/>
    <w:rsid w:val="00157571"/>
    <w:rsid w:val="001753E2"/>
    <w:rsid w:val="001820D6"/>
    <w:rsid w:val="00186E4D"/>
    <w:rsid w:val="001B17F0"/>
    <w:rsid w:val="001C50EA"/>
    <w:rsid w:val="001E163D"/>
    <w:rsid w:val="001E7A85"/>
    <w:rsid w:val="00224CF8"/>
    <w:rsid w:val="00235087"/>
    <w:rsid w:val="00254023"/>
    <w:rsid w:val="002752B5"/>
    <w:rsid w:val="00284516"/>
    <w:rsid w:val="002916FD"/>
    <w:rsid w:val="00295015"/>
    <w:rsid w:val="002B3B01"/>
    <w:rsid w:val="002C2647"/>
    <w:rsid w:val="002D116C"/>
    <w:rsid w:val="002F313F"/>
    <w:rsid w:val="003047A3"/>
    <w:rsid w:val="003059BB"/>
    <w:rsid w:val="00305A2E"/>
    <w:rsid w:val="0031710E"/>
    <w:rsid w:val="00324F52"/>
    <w:rsid w:val="00377802"/>
    <w:rsid w:val="003824EC"/>
    <w:rsid w:val="00382A60"/>
    <w:rsid w:val="003A0641"/>
    <w:rsid w:val="003A1BEA"/>
    <w:rsid w:val="003B4C6E"/>
    <w:rsid w:val="003D796D"/>
    <w:rsid w:val="003E5E8E"/>
    <w:rsid w:val="004309F0"/>
    <w:rsid w:val="00430F2C"/>
    <w:rsid w:val="004323E0"/>
    <w:rsid w:val="00472CB3"/>
    <w:rsid w:val="00473039"/>
    <w:rsid w:val="004849EE"/>
    <w:rsid w:val="00484C29"/>
    <w:rsid w:val="004B4CB9"/>
    <w:rsid w:val="004C4299"/>
    <w:rsid w:val="004C7BC1"/>
    <w:rsid w:val="004D17F3"/>
    <w:rsid w:val="004E3562"/>
    <w:rsid w:val="004E6817"/>
    <w:rsid w:val="004F1764"/>
    <w:rsid w:val="004F3EB9"/>
    <w:rsid w:val="00511DC9"/>
    <w:rsid w:val="0051205B"/>
    <w:rsid w:val="0052049E"/>
    <w:rsid w:val="00527EEF"/>
    <w:rsid w:val="005519A1"/>
    <w:rsid w:val="005557A0"/>
    <w:rsid w:val="005624D2"/>
    <w:rsid w:val="00563D03"/>
    <w:rsid w:val="005766D4"/>
    <w:rsid w:val="00587904"/>
    <w:rsid w:val="005E58F2"/>
    <w:rsid w:val="005F12FE"/>
    <w:rsid w:val="005F2F34"/>
    <w:rsid w:val="00605DFF"/>
    <w:rsid w:val="006158C4"/>
    <w:rsid w:val="0062434E"/>
    <w:rsid w:val="006412C9"/>
    <w:rsid w:val="006464AC"/>
    <w:rsid w:val="006532E6"/>
    <w:rsid w:val="006569E8"/>
    <w:rsid w:val="006602F8"/>
    <w:rsid w:val="00682D39"/>
    <w:rsid w:val="006A29D8"/>
    <w:rsid w:val="006B507B"/>
    <w:rsid w:val="006E5044"/>
    <w:rsid w:val="006F39B6"/>
    <w:rsid w:val="00701F43"/>
    <w:rsid w:val="007026B3"/>
    <w:rsid w:val="00724C15"/>
    <w:rsid w:val="007359FA"/>
    <w:rsid w:val="00747347"/>
    <w:rsid w:val="007531AC"/>
    <w:rsid w:val="00761C1A"/>
    <w:rsid w:val="00764827"/>
    <w:rsid w:val="007657BB"/>
    <w:rsid w:val="0078368A"/>
    <w:rsid w:val="007A3882"/>
    <w:rsid w:val="007A67A0"/>
    <w:rsid w:val="007A7A9E"/>
    <w:rsid w:val="007F4094"/>
    <w:rsid w:val="00810A7D"/>
    <w:rsid w:val="00822741"/>
    <w:rsid w:val="00833293"/>
    <w:rsid w:val="0083430D"/>
    <w:rsid w:val="00851A47"/>
    <w:rsid w:val="00856D73"/>
    <w:rsid w:val="00883517"/>
    <w:rsid w:val="00895AC2"/>
    <w:rsid w:val="008A1517"/>
    <w:rsid w:val="008A3797"/>
    <w:rsid w:val="008B6CA8"/>
    <w:rsid w:val="008C17DC"/>
    <w:rsid w:val="008C65F3"/>
    <w:rsid w:val="008D29DF"/>
    <w:rsid w:val="008D5108"/>
    <w:rsid w:val="008E18B1"/>
    <w:rsid w:val="0090025F"/>
    <w:rsid w:val="0090625F"/>
    <w:rsid w:val="00921421"/>
    <w:rsid w:val="00950ECC"/>
    <w:rsid w:val="009619C9"/>
    <w:rsid w:val="0096528F"/>
    <w:rsid w:val="00971A93"/>
    <w:rsid w:val="00997412"/>
    <w:rsid w:val="009B6FC7"/>
    <w:rsid w:val="009C665F"/>
    <w:rsid w:val="009C74B3"/>
    <w:rsid w:val="009D62F9"/>
    <w:rsid w:val="00A40029"/>
    <w:rsid w:val="00A457B2"/>
    <w:rsid w:val="00A81EE7"/>
    <w:rsid w:val="00A82E20"/>
    <w:rsid w:val="00A8614A"/>
    <w:rsid w:val="00A8752C"/>
    <w:rsid w:val="00AC708E"/>
    <w:rsid w:val="00B0338F"/>
    <w:rsid w:val="00B7565B"/>
    <w:rsid w:val="00B80ADE"/>
    <w:rsid w:val="00B834A0"/>
    <w:rsid w:val="00BD6777"/>
    <w:rsid w:val="00BF7E66"/>
    <w:rsid w:val="00C10F66"/>
    <w:rsid w:val="00C165EA"/>
    <w:rsid w:val="00C551F6"/>
    <w:rsid w:val="00C61415"/>
    <w:rsid w:val="00C70417"/>
    <w:rsid w:val="00C83F19"/>
    <w:rsid w:val="00CA1CD1"/>
    <w:rsid w:val="00CB45D9"/>
    <w:rsid w:val="00CF7003"/>
    <w:rsid w:val="00D30D4E"/>
    <w:rsid w:val="00D47F02"/>
    <w:rsid w:val="00D57479"/>
    <w:rsid w:val="00D61D25"/>
    <w:rsid w:val="00D7524F"/>
    <w:rsid w:val="00D86EE7"/>
    <w:rsid w:val="00D942C0"/>
    <w:rsid w:val="00DA3279"/>
    <w:rsid w:val="00DC4B43"/>
    <w:rsid w:val="00DC4C22"/>
    <w:rsid w:val="00DD2FDE"/>
    <w:rsid w:val="00DF5932"/>
    <w:rsid w:val="00E0325C"/>
    <w:rsid w:val="00E056F2"/>
    <w:rsid w:val="00E13253"/>
    <w:rsid w:val="00E138D5"/>
    <w:rsid w:val="00E20669"/>
    <w:rsid w:val="00E43E54"/>
    <w:rsid w:val="00E51E73"/>
    <w:rsid w:val="00E6396B"/>
    <w:rsid w:val="00E72217"/>
    <w:rsid w:val="00E73AA2"/>
    <w:rsid w:val="00E9024E"/>
    <w:rsid w:val="00E95C45"/>
    <w:rsid w:val="00EA4F5E"/>
    <w:rsid w:val="00EA7542"/>
    <w:rsid w:val="00EB5FA6"/>
    <w:rsid w:val="00ED0CDE"/>
    <w:rsid w:val="00ED1CCB"/>
    <w:rsid w:val="00EF5D45"/>
    <w:rsid w:val="00F065BC"/>
    <w:rsid w:val="00F257E3"/>
    <w:rsid w:val="00F26B66"/>
    <w:rsid w:val="00F26DA5"/>
    <w:rsid w:val="00F65774"/>
    <w:rsid w:val="00F66A9E"/>
    <w:rsid w:val="00F73669"/>
    <w:rsid w:val="00F76237"/>
    <w:rsid w:val="00FA2644"/>
    <w:rsid w:val="00FB1F32"/>
    <w:rsid w:val="00FE6B49"/>
    <w:rsid w:val="00FF71E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323E0"/>
    <w:rPr>
      <w:sz w:val="24"/>
    </w:rPr>
  </w:style>
  <w:style w:type="paragraph" w:styleId="Heading1">
    <w:name w:val="heading 1"/>
    <w:basedOn w:val="Normal"/>
    <w:next w:val="Normal"/>
    <w:link w:val="Heading1Char"/>
    <w:uiPriority w:val="99"/>
    <w:qFormat/>
    <w:rsid w:val="003824EC"/>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824E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824E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3E0"/>
    <w:pPr>
      <w:tabs>
        <w:tab w:val="center" w:pos="4320"/>
        <w:tab w:val="right" w:pos="8640"/>
      </w:tabs>
    </w:pPr>
  </w:style>
  <w:style w:type="paragraph" w:styleId="Footer">
    <w:name w:val="footer"/>
    <w:basedOn w:val="Normal"/>
    <w:rsid w:val="004323E0"/>
    <w:pPr>
      <w:tabs>
        <w:tab w:val="center" w:pos="4320"/>
        <w:tab w:val="right" w:pos="8640"/>
      </w:tabs>
    </w:pPr>
  </w:style>
  <w:style w:type="character" w:styleId="PageNumber">
    <w:name w:val="page number"/>
    <w:basedOn w:val="DefaultParagraphFont"/>
    <w:rsid w:val="004323E0"/>
  </w:style>
  <w:style w:type="table" w:styleId="TableGrid">
    <w:name w:val="Table Grid"/>
    <w:basedOn w:val="TableNormal"/>
    <w:rsid w:val="00BA0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66D4"/>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99"/>
    <w:qFormat/>
    <w:rsid w:val="0052049E"/>
    <w:pPr>
      <w:ind w:left="720"/>
      <w:contextualSpacing/>
    </w:pPr>
    <w:rPr>
      <w:rFonts w:ascii="Constantia" w:eastAsia="Calibri" w:hAnsi="Constantia"/>
      <w:sz w:val="22"/>
      <w:szCs w:val="22"/>
      <w:lang w:val="en-CA"/>
    </w:rPr>
  </w:style>
  <w:style w:type="character" w:styleId="CommentReference">
    <w:name w:val="annotation reference"/>
    <w:basedOn w:val="DefaultParagraphFont"/>
    <w:uiPriority w:val="99"/>
    <w:rsid w:val="003A1BEA"/>
    <w:rPr>
      <w:sz w:val="16"/>
      <w:szCs w:val="16"/>
    </w:rPr>
  </w:style>
  <w:style w:type="paragraph" w:styleId="CommentText">
    <w:name w:val="annotation text"/>
    <w:basedOn w:val="Normal"/>
    <w:link w:val="CommentTextChar"/>
    <w:uiPriority w:val="99"/>
    <w:rsid w:val="003A1BEA"/>
    <w:rPr>
      <w:sz w:val="20"/>
    </w:rPr>
  </w:style>
  <w:style w:type="character" w:customStyle="1" w:styleId="CommentTextChar">
    <w:name w:val="Comment Text Char"/>
    <w:basedOn w:val="DefaultParagraphFont"/>
    <w:link w:val="CommentText"/>
    <w:uiPriority w:val="99"/>
    <w:rsid w:val="003A1BEA"/>
    <w:rPr>
      <w:lang w:val="en-US" w:eastAsia="en-US"/>
    </w:rPr>
  </w:style>
  <w:style w:type="paragraph" w:styleId="BalloonText">
    <w:name w:val="Balloon Text"/>
    <w:basedOn w:val="Normal"/>
    <w:link w:val="BalloonTextChar"/>
    <w:rsid w:val="003A1BEA"/>
    <w:rPr>
      <w:rFonts w:ascii="Tahoma" w:hAnsi="Tahoma" w:cs="Tahoma"/>
      <w:sz w:val="16"/>
      <w:szCs w:val="16"/>
    </w:rPr>
  </w:style>
  <w:style w:type="character" w:customStyle="1" w:styleId="BalloonTextChar">
    <w:name w:val="Balloon Text Char"/>
    <w:basedOn w:val="DefaultParagraphFont"/>
    <w:link w:val="BalloonText"/>
    <w:rsid w:val="003A1BEA"/>
    <w:rPr>
      <w:rFonts w:ascii="Tahoma" w:hAnsi="Tahoma" w:cs="Tahoma"/>
      <w:sz w:val="16"/>
      <w:szCs w:val="16"/>
      <w:lang w:val="en-US" w:eastAsia="en-US"/>
    </w:rPr>
  </w:style>
  <w:style w:type="paragraph" w:styleId="CommentSubject">
    <w:name w:val="annotation subject"/>
    <w:basedOn w:val="CommentText"/>
    <w:next w:val="CommentText"/>
    <w:link w:val="CommentSubjectChar"/>
    <w:rsid w:val="003A1BEA"/>
    <w:rPr>
      <w:b/>
      <w:bCs/>
    </w:rPr>
  </w:style>
  <w:style w:type="character" w:customStyle="1" w:styleId="CommentSubjectChar">
    <w:name w:val="Comment Subject Char"/>
    <w:basedOn w:val="CommentTextChar"/>
    <w:link w:val="CommentSubject"/>
    <w:rsid w:val="003A1BEA"/>
    <w:rPr>
      <w:b/>
      <w:bCs/>
    </w:rPr>
  </w:style>
  <w:style w:type="paragraph" w:customStyle="1" w:styleId="Default">
    <w:name w:val="Default"/>
    <w:uiPriority w:val="99"/>
    <w:rsid w:val="006412C9"/>
    <w:pPr>
      <w:autoSpaceDE w:val="0"/>
      <w:autoSpaceDN w:val="0"/>
      <w:adjustRightInd w:val="0"/>
    </w:pPr>
    <w:rPr>
      <w:rFonts w:ascii="Constantia" w:hAnsi="Constantia" w:cs="Constantia"/>
      <w:color w:val="000000"/>
      <w:sz w:val="24"/>
      <w:szCs w:val="24"/>
    </w:rPr>
  </w:style>
  <w:style w:type="character" w:customStyle="1" w:styleId="Heading1Char">
    <w:name w:val="Heading 1 Char"/>
    <w:basedOn w:val="DefaultParagraphFont"/>
    <w:link w:val="Heading1"/>
    <w:uiPriority w:val="99"/>
    <w:rsid w:val="003824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824E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824EC"/>
    <w:rPr>
      <w:rFonts w:ascii="Arial" w:eastAsia="Times New Roman" w:hAnsi="Arial" w:cs="Arial"/>
      <w:b/>
      <w:bCs/>
      <w:sz w:val="26"/>
      <w:szCs w:val="26"/>
    </w:rPr>
  </w:style>
  <w:style w:type="character" w:styleId="Hyperlink">
    <w:name w:val="Hyperlink"/>
    <w:basedOn w:val="DefaultParagraphFont"/>
    <w:uiPriority w:val="99"/>
    <w:rsid w:val="003824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59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icm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icma.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0B34E-C03E-4545-A572-477E1ED44870}"/>
</file>

<file path=customXml/itemProps2.xml><?xml version="1.0" encoding="utf-8"?>
<ds:datastoreItem xmlns:ds="http://schemas.openxmlformats.org/officeDocument/2006/customXml" ds:itemID="{AE907FFE-AA40-42A7-AFB9-1E5D76CBE2A4}"/>
</file>

<file path=customXml/itemProps3.xml><?xml version="1.0" encoding="utf-8"?>
<ds:datastoreItem xmlns:ds="http://schemas.openxmlformats.org/officeDocument/2006/customXml" ds:itemID="{0B767A72-FF74-49DF-9814-F5ECB218EC6C}"/>
</file>

<file path=customXml/itemProps4.xml><?xml version="1.0" encoding="utf-8"?>
<ds:datastoreItem xmlns:ds="http://schemas.openxmlformats.org/officeDocument/2006/customXml" ds:itemID="{FEFB6089-E708-4227-8ADC-B0DD83E5B6C6}"/>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2010 COMMUNITY EXCELLENCE AWARDS</vt:lpstr>
    </vt:vector>
  </TitlesOfParts>
  <Company>UBCM</Company>
  <LinksUpToDate>false</LinksUpToDate>
  <CharactersWithSpaces>9483</CharactersWithSpaces>
  <SharedDoc>false</SharedDoc>
  <HyperlinkBase/>
  <HLinks>
    <vt:vector size="12" baseType="variant">
      <vt:variant>
        <vt:i4>4980836</vt:i4>
      </vt:variant>
      <vt:variant>
        <vt:i4>12</vt:i4>
      </vt:variant>
      <vt:variant>
        <vt:i4>0</vt:i4>
      </vt:variant>
      <vt:variant>
        <vt:i4>5</vt:i4>
      </vt:variant>
      <vt:variant>
        <vt:lpwstr>mailto:awards@icma.org</vt:lpwstr>
      </vt:variant>
      <vt:variant>
        <vt:lpwstr/>
      </vt:variant>
      <vt:variant>
        <vt:i4>4980836</vt:i4>
      </vt:variant>
      <vt:variant>
        <vt:i4>9</vt:i4>
      </vt:variant>
      <vt:variant>
        <vt:i4>0</vt:i4>
      </vt:variant>
      <vt:variant>
        <vt:i4>5</vt:i4>
      </vt:variant>
      <vt:variant>
        <vt:lpwstr>mailto:awards@icma.org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COMMUNITY EXCELLENCE AWARDS</dc:title>
  <dc:creator>J. Young</dc:creator>
  <cp:lastModifiedBy>flittky</cp:lastModifiedBy>
  <cp:revision>2</cp:revision>
  <cp:lastPrinted>2010-06-11T16:54:00Z</cp:lastPrinted>
  <dcterms:created xsi:type="dcterms:W3CDTF">2012-03-19T13:03:00Z</dcterms:created>
  <dcterms:modified xsi:type="dcterms:W3CDTF">2012-03-19T13:03:00Z</dcterms:modified>
</cp:coreProperties>
</file>