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5A" w:rsidRPr="008F5950" w:rsidRDefault="006F405A" w:rsidP="00503554">
      <w:pPr>
        <w:spacing w:after="0" w:line="480" w:lineRule="auto"/>
        <w:jc w:val="center"/>
        <w:rPr>
          <w:rFonts w:ascii="Times New Roman" w:hAnsi="Times New Roman"/>
          <w:b/>
          <w:sz w:val="24"/>
          <w:szCs w:val="24"/>
        </w:rPr>
      </w:pPr>
      <w:r w:rsidRPr="008F5950">
        <w:rPr>
          <w:rFonts w:ascii="Times New Roman" w:hAnsi="Times New Roman"/>
          <w:b/>
          <w:sz w:val="24"/>
          <w:szCs w:val="24"/>
        </w:rPr>
        <w:t xml:space="preserve">Online Travel Companies v. </w:t>
      </w:r>
      <w:r w:rsidR="001A71F3" w:rsidRPr="008F5950">
        <w:rPr>
          <w:rFonts w:ascii="Times New Roman" w:hAnsi="Times New Roman"/>
          <w:b/>
          <w:sz w:val="24"/>
          <w:szCs w:val="24"/>
        </w:rPr>
        <w:t>Government Entities</w:t>
      </w:r>
      <w:r w:rsidR="00C52863">
        <w:rPr>
          <w:rFonts w:ascii="Times New Roman" w:hAnsi="Times New Roman"/>
          <w:b/>
          <w:sz w:val="24"/>
          <w:szCs w:val="24"/>
        </w:rPr>
        <w:t>:  Litigation Update</w:t>
      </w:r>
    </w:p>
    <w:p w:rsidR="00503554" w:rsidRDefault="00534242" w:rsidP="00503554">
      <w:pPr>
        <w:spacing w:after="0" w:line="480" w:lineRule="auto"/>
        <w:jc w:val="center"/>
        <w:rPr>
          <w:rFonts w:ascii="Times New Roman" w:hAnsi="Times New Roman"/>
          <w:sz w:val="24"/>
          <w:szCs w:val="24"/>
        </w:rPr>
      </w:pPr>
      <w:r w:rsidRPr="00503554">
        <w:rPr>
          <w:rFonts w:ascii="Times New Roman" w:hAnsi="Times New Roman"/>
          <w:sz w:val="24"/>
          <w:szCs w:val="24"/>
        </w:rPr>
        <w:t>Prepared by</w:t>
      </w:r>
      <w:r w:rsidR="001267FD">
        <w:rPr>
          <w:rFonts w:ascii="Times New Roman" w:hAnsi="Times New Roman"/>
          <w:sz w:val="24"/>
          <w:szCs w:val="24"/>
        </w:rPr>
        <w:t xml:space="preserve"> the</w:t>
      </w:r>
      <w:r w:rsidRPr="00503554">
        <w:rPr>
          <w:rFonts w:ascii="Times New Roman" w:hAnsi="Times New Roman"/>
          <w:sz w:val="24"/>
          <w:szCs w:val="24"/>
        </w:rPr>
        <w:t xml:space="preserve"> </w:t>
      </w:r>
      <w:r w:rsidR="009C4E00">
        <w:rPr>
          <w:rFonts w:ascii="Times New Roman" w:hAnsi="Times New Roman"/>
          <w:sz w:val="24"/>
          <w:szCs w:val="24"/>
        </w:rPr>
        <w:t>Honesty in Travel Taxes Coalition</w:t>
      </w:r>
    </w:p>
    <w:p w:rsidR="006F405A" w:rsidRPr="00534242" w:rsidRDefault="006F405A" w:rsidP="00503554">
      <w:pPr>
        <w:spacing w:after="0" w:line="480" w:lineRule="auto"/>
        <w:jc w:val="center"/>
        <w:rPr>
          <w:rFonts w:ascii="Times New Roman" w:hAnsi="Times New Roman"/>
          <w:sz w:val="24"/>
          <w:szCs w:val="24"/>
        </w:rPr>
      </w:pPr>
      <w:r w:rsidRPr="00534242">
        <w:rPr>
          <w:rFonts w:ascii="Times New Roman" w:hAnsi="Times New Roman"/>
          <w:sz w:val="24"/>
          <w:szCs w:val="24"/>
        </w:rPr>
        <w:t xml:space="preserve">Contact: </w:t>
      </w:r>
      <w:r w:rsidR="00534242" w:rsidRPr="00534242">
        <w:rPr>
          <w:rFonts w:ascii="Times New Roman" w:hAnsi="Times New Roman"/>
          <w:sz w:val="24"/>
          <w:szCs w:val="24"/>
        </w:rPr>
        <w:t xml:space="preserve"> </w:t>
      </w:r>
      <w:r w:rsidRPr="00534242">
        <w:rPr>
          <w:rFonts w:ascii="Times New Roman" w:hAnsi="Times New Roman"/>
          <w:sz w:val="24"/>
          <w:szCs w:val="24"/>
        </w:rPr>
        <w:t xml:space="preserve">Marty Morris </w:t>
      </w:r>
      <w:r w:rsidR="00840616">
        <w:rPr>
          <w:rFonts w:ascii="Times New Roman" w:hAnsi="Times New Roman"/>
          <w:sz w:val="24"/>
          <w:szCs w:val="24"/>
        </w:rPr>
        <w:t>-</w:t>
      </w:r>
      <w:r w:rsidRPr="00534242">
        <w:rPr>
          <w:rFonts w:ascii="Times New Roman" w:hAnsi="Times New Roman"/>
          <w:sz w:val="24"/>
          <w:szCs w:val="24"/>
        </w:rPr>
        <w:t xml:space="preserve"> 202.302.7296</w:t>
      </w:r>
    </w:p>
    <w:p w:rsidR="0028378F" w:rsidRPr="0028378F" w:rsidRDefault="0028378F" w:rsidP="0028378F">
      <w:pPr>
        <w:spacing w:after="0" w:line="480" w:lineRule="auto"/>
        <w:ind w:firstLine="720"/>
        <w:rPr>
          <w:rFonts w:ascii="Times New Roman" w:hAnsi="Times New Roman"/>
          <w:sz w:val="24"/>
          <w:szCs w:val="24"/>
        </w:rPr>
      </w:pPr>
      <w:r w:rsidRPr="0028378F">
        <w:rPr>
          <w:rFonts w:ascii="Times New Roman" w:hAnsi="Times New Roman"/>
          <w:sz w:val="24"/>
          <w:szCs w:val="24"/>
        </w:rPr>
        <w:t>Online travel companies (“OTCs”) such as Expedia, Orbitz, Priceline, Hotels.com</w:t>
      </w:r>
      <w:r w:rsidR="006C3CD4">
        <w:rPr>
          <w:rFonts w:ascii="Times New Roman" w:hAnsi="Times New Roman"/>
          <w:sz w:val="24"/>
          <w:szCs w:val="24"/>
        </w:rPr>
        <w:t>,</w:t>
      </w:r>
      <w:r w:rsidRPr="0028378F">
        <w:rPr>
          <w:rFonts w:ascii="Times New Roman" w:hAnsi="Times New Roman"/>
          <w:sz w:val="24"/>
          <w:szCs w:val="24"/>
        </w:rPr>
        <w:t xml:space="preserve"> and Travelocity sell hotel room reservations over the telephone and </w:t>
      </w:r>
      <w:r w:rsidR="00AC27A4">
        <w:rPr>
          <w:rFonts w:ascii="Times New Roman" w:hAnsi="Times New Roman"/>
          <w:sz w:val="24"/>
          <w:szCs w:val="24"/>
        </w:rPr>
        <w:t>Internet</w:t>
      </w:r>
      <w:r w:rsidRPr="0028378F">
        <w:rPr>
          <w:rFonts w:ascii="Times New Roman" w:hAnsi="Times New Roman"/>
          <w:sz w:val="24"/>
          <w:szCs w:val="24"/>
        </w:rPr>
        <w:t xml:space="preserve">.  They </w:t>
      </w:r>
      <w:r w:rsidR="00B14AB8">
        <w:rPr>
          <w:rFonts w:ascii="Times New Roman" w:hAnsi="Times New Roman"/>
          <w:sz w:val="24"/>
          <w:szCs w:val="24"/>
        </w:rPr>
        <w:t xml:space="preserve">are </w:t>
      </w:r>
      <w:r w:rsidRPr="0028378F">
        <w:rPr>
          <w:rFonts w:ascii="Times New Roman" w:hAnsi="Times New Roman"/>
          <w:sz w:val="24"/>
          <w:szCs w:val="24"/>
        </w:rPr>
        <w:t>seek</w:t>
      </w:r>
      <w:r w:rsidR="00B14AB8">
        <w:rPr>
          <w:rFonts w:ascii="Times New Roman" w:hAnsi="Times New Roman"/>
          <w:sz w:val="24"/>
          <w:szCs w:val="24"/>
        </w:rPr>
        <w:t>ing</w:t>
      </w:r>
      <w:r w:rsidR="00453D78">
        <w:rPr>
          <w:rFonts w:ascii="Times New Roman" w:hAnsi="Times New Roman"/>
          <w:sz w:val="24"/>
          <w:szCs w:val="24"/>
        </w:rPr>
        <w:t xml:space="preserve"> a f</w:t>
      </w:r>
      <w:r w:rsidRPr="0028378F">
        <w:rPr>
          <w:rFonts w:ascii="Times New Roman" w:hAnsi="Times New Roman"/>
          <w:sz w:val="24"/>
          <w:szCs w:val="24"/>
        </w:rPr>
        <w:t xml:space="preserve">ederal </w:t>
      </w:r>
      <w:r w:rsidR="00C52863">
        <w:rPr>
          <w:rFonts w:ascii="Times New Roman" w:hAnsi="Times New Roman"/>
          <w:sz w:val="24"/>
          <w:szCs w:val="24"/>
        </w:rPr>
        <w:t>pree</w:t>
      </w:r>
      <w:r w:rsidRPr="0028378F">
        <w:rPr>
          <w:rFonts w:ascii="Times New Roman" w:hAnsi="Times New Roman"/>
          <w:sz w:val="24"/>
          <w:szCs w:val="24"/>
        </w:rPr>
        <w:t xml:space="preserve">mption from </w:t>
      </w:r>
      <w:r w:rsidR="00C52863">
        <w:rPr>
          <w:rFonts w:ascii="Times New Roman" w:hAnsi="Times New Roman"/>
          <w:sz w:val="24"/>
          <w:szCs w:val="24"/>
        </w:rPr>
        <w:t xml:space="preserve">all </w:t>
      </w:r>
      <w:r w:rsidRPr="0028378F">
        <w:rPr>
          <w:rFonts w:ascii="Times New Roman" w:hAnsi="Times New Roman"/>
          <w:sz w:val="24"/>
          <w:szCs w:val="24"/>
        </w:rPr>
        <w:t xml:space="preserve">state </w:t>
      </w:r>
      <w:r w:rsidR="00094DF3">
        <w:rPr>
          <w:rFonts w:ascii="Times New Roman" w:hAnsi="Times New Roman"/>
          <w:sz w:val="24"/>
          <w:szCs w:val="24"/>
        </w:rPr>
        <w:t xml:space="preserve">and local </w:t>
      </w:r>
      <w:r w:rsidRPr="0028378F">
        <w:rPr>
          <w:rFonts w:ascii="Times New Roman" w:hAnsi="Times New Roman"/>
          <w:sz w:val="24"/>
          <w:szCs w:val="24"/>
        </w:rPr>
        <w:t xml:space="preserve">taxes </w:t>
      </w:r>
      <w:r w:rsidR="00C52863">
        <w:rPr>
          <w:rFonts w:ascii="Times New Roman" w:hAnsi="Times New Roman"/>
          <w:sz w:val="24"/>
          <w:szCs w:val="24"/>
        </w:rPr>
        <w:t xml:space="preserve">imposed </w:t>
      </w:r>
      <w:r w:rsidRPr="0028378F">
        <w:rPr>
          <w:rFonts w:ascii="Times New Roman" w:hAnsi="Times New Roman"/>
          <w:sz w:val="24"/>
          <w:szCs w:val="24"/>
        </w:rPr>
        <w:t>on hotel rooms</w:t>
      </w:r>
      <w:r>
        <w:rPr>
          <w:rFonts w:ascii="Times New Roman" w:hAnsi="Times New Roman"/>
          <w:sz w:val="24"/>
          <w:szCs w:val="24"/>
        </w:rPr>
        <w:t xml:space="preserve"> when </w:t>
      </w:r>
      <w:r w:rsidR="006C3CD4">
        <w:rPr>
          <w:rFonts w:ascii="Times New Roman" w:hAnsi="Times New Roman"/>
          <w:sz w:val="24"/>
          <w:szCs w:val="24"/>
        </w:rPr>
        <w:t xml:space="preserve">the reservations are </w:t>
      </w:r>
      <w:r>
        <w:rPr>
          <w:rFonts w:ascii="Times New Roman" w:hAnsi="Times New Roman"/>
          <w:sz w:val="24"/>
          <w:szCs w:val="24"/>
        </w:rPr>
        <w:t>purchased through their businesses</w:t>
      </w:r>
      <w:r w:rsidRPr="0028378F">
        <w:rPr>
          <w:rFonts w:ascii="Times New Roman" w:hAnsi="Times New Roman"/>
          <w:sz w:val="24"/>
          <w:szCs w:val="24"/>
        </w:rPr>
        <w:t>.</w:t>
      </w:r>
    </w:p>
    <w:p w:rsidR="0028378F" w:rsidRPr="0028378F" w:rsidRDefault="0028378F" w:rsidP="0028378F">
      <w:pPr>
        <w:spacing w:after="0" w:line="480" w:lineRule="auto"/>
        <w:ind w:firstLine="720"/>
        <w:rPr>
          <w:rFonts w:ascii="Times New Roman" w:hAnsi="Times New Roman"/>
          <w:sz w:val="24"/>
          <w:szCs w:val="24"/>
        </w:rPr>
      </w:pPr>
      <w:r w:rsidRPr="0028378F">
        <w:rPr>
          <w:rFonts w:ascii="Times New Roman" w:hAnsi="Times New Roman"/>
          <w:sz w:val="24"/>
          <w:szCs w:val="24"/>
        </w:rPr>
        <w:t xml:space="preserve">The </w:t>
      </w:r>
      <w:r w:rsidR="009C4E00">
        <w:rPr>
          <w:rFonts w:ascii="Times New Roman" w:hAnsi="Times New Roman"/>
          <w:sz w:val="24"/>
          <w:szCs w:val="24"/>
        </w:rPr>
        <w:t>Honesty in Travel Taxes</w:t>
      </w:r>
      <w:r w:rsidRPr="0028378F">
        <w:rPr>
          <w:rFonts w:ascii="Times New Roman" w:hAnsi="Times New Roman"/>
          <w:sz w:val="24"/>
          <w:szCs w:val="24"/>
        </w:rPr>
        <w:t xml:space="preserve"> Coalition opposes </w:t>
      </w:r>
      <w:r>
        <w:rPr>
          <w:rFonts w:ascii="Times New Roman" w:hAnsi="Times New Roman"/>
          <w:sz w:val="24"/>
          <w:szCs w:val="24"/>
        </w:rPr>
        <w:t xml:space="preserve">this </w:t>
      </w:r>
      <w:r w:rsidR="00C52863">
        <w:rPr>
          <w:rFonts w:ascii="Times New Roman" w:hAnsi="Times New Roman"/>
          <w:sz w:val="24"/>
          <w:szCs w:val="24"/>
        </w:rPr>
        <w:t>pre</w:t>
      </w:r>
      <w:r w:rsidRPr="0028378F">
        <w:rPr>
          <w:rFonts w:ascii="Times New Roman" w:hAnsi="Times New Roman"/>
          <w:sz w:val="24"/>
          <w:szCs w:val="24"/>
        </w:rPr>
        <w:t xml:space="preserve">emption </w:t>
      </w:r>
      <w:r w:rsidR="00D108B5">
        <w:rPr>
          <w:rFonts w:ascii="Times New Roman" w:hAnsi="Times New Roman"/>
          <w:sz w:val="24"/>
          <w:szCs w:val="24"/>
        </w:rPr>
        <w:t>because it is contrary to</w:t>
      </w:r>
      <w:r w:rsidRPr="0028378F">
        <w:rPr>
          <w:rFonts w:ascii="Times New Roman" w:hAnsi="Times New Roman"/>
          <w:sz w:val="24"/>
          <w:szCs w:val="24"/>
        </w:rPr>
        <w:t xml:space="preserve"> public policy</w:t>
      </w:r>
      <w:r w:rsidR="00B14AB8">
        <w:rPr>
          <w:rFonts w:ascii="Times New Roman" w:hAnsi="Times New Roman"/>
          <w:sz w:val="24"/>
          <w:szCs w:val="24"/>
        </w:rPr>
        <w:t>;</w:t>
      </w:r>
      <w:r w:rsidR="00C52863">
        <w:rPr>
          <w:rFonts w:ascii="Times New Roman" w:hAnsi="Times New Roman"/>
          <w:sz w:val="24"/>
          <w:szCs w:val="24"/>
        </w:rPr>
        <w:t xml:space="preserve"> </w:t>
      </w:r>
      <w:r w:rsidR="00D108B5">
        <w:rPr>
          <w:rFonts w:ascii="Times New Roman" w:hAnsi="Times New Roman"/>
          <w:sz w:val="24"/>
          <w:szCs w:val="24"/>
        </w:rPr>
        <w:t xml:space="preserve">it will </w:t>
      </w:r>
      <w:r w:rsidRPr="0028378F">
        <w:rPr>
          <w:rFonts w:ascii="Times New Roman" w:hAnsi="Times New Roman"/>
          <w:sz w:val="24"/>
          <w:szCs w:val="24"/>
        </w:rPr>
        <w:t>drain state and local revenues</w:t>
      </w:r>
      <w:r w:rsidR="00C52863">
        <w:rPr>
          <w:rFonts w:ascii="Times New Roman" w:hAnsi="Times New Roman"/>
          <w:sz w:val="24"/>
          <w:szCs w:val="24"/>
        </w:rPr>
        <w:t xml:space="preserve"> that support schools, public safety, and </w:t>
      </w:r>
      <w:r w:rsidRPr="0028378F">
        <w:rPr>
          <w:rFonts w:ascii="Times New Roman" w:hAnsi="Times New Roman"/>
          <w:sz w:val="24"/>
          <w:szCs w:val="24"/>
        </w:rPr>
        <w:t>tourism development</w:t>
      </w:r>
      <w:r w:rsidR="00B14AB8">
        <w:rPr>
          <w:rFonts w:ascii="Times New Roman" w:hAnsi="Times New Roman"/>
          <w:sz w:val="24"/>
          <w:szCs w:val="24"/>
        </w:rPr>
        <w:t>;</w:t>
      </w:r>
      <w:r w:rsidR="00C52863">
        <w:rPr>
          <w:rFonts w:ascii="Times New Roman" w:hAnsi="Times New Roman"/>
          <w:sz w:val="24"/>
          <w:szCs w:val="24"/>
        </w:rPr>
        <w:t xml:space="preserve"> and </w:t>
      </w:r>
      <w:r w:rsidR="00D108B5">
        <w:rPr>
          <w:rFonts w:ascii="Times New Roman" w:hAnsi="Times New Roman"/>
          <w:sz w:val="24"/>
          <w:szCs w:val="24"/>
        </w:rPr>
        <w:t xml:space="preserve">it will </w:t>
      </w:r>
      <w:r w:rsidR="00C52863">
        <w:rPr>
          <w:rFonts w:ascii="Times New Roman" w:hAnsi="Times New Roman"/>
          <w:sz w:val="24"/>
          <w:szCs w:val="24"/>
        </w:rPr>
        <w:t>result in unfair competition</w:t>
      </w:r>
      <w:r w:rsidR="001E700E">
        <w:rPr>
          <w:rFonts w:ascii="Times New Roman" w:hAnsi="Times New Roman"/>
          <w:sz w:val="24"/>
          <w:szCs w:val="24"/>
        </w:rPr>
        <w:t xml:space="preserve"> and unfair taxation among sellers of hotel rooms</w:t>
      </w:r>
      <w:r w:rsidRPr="0028378F">
        <w:rPr>
          <w:rFonts w:ascii="Times New Roman" w:hAnsi="Times New Roman"/>
          <w:sz w:val="24"/>
          <w:szCs w:val="24"/>
        </w:rPr>
        <w:t xml:space="preserve">.  The minimum annual revenue loss that </w:t>
      </w:r>
      <w:r w:rsidR="00094DF3">
        <w:rPr>
          <w:rFonts w:ascii="Times New Roman" w:hAnsi="Times New Roman"/>
          <w:sz w:val="24"/>
          <w:szCs w:val="24"/>
        </w:rPr>
        <w:t xml:space="preserve">state and </w:t>
      </w:r>
      <w:r w:rsidRPr="0028378F">
        <w:rPr>
          <w:rFonts w:ascii="Times New Roman" w:hAnsi="Times New Roman"/>
          <w:sz w:val="24"/>
          <w:szCs w:val="24"/>
        </w:rPr>
        <w:t xml:space="preserve">local governments would </w:t>
      </w:r>
      <w:r w:rsidR="00DC14EF">
        <w:rPr>
          <w:rFonts w:ascii="Times New Roman" w:hAnsi="Times New Roman"/>
          <w:sz w:val="24"/>
          <w:szCs w:val="24"/>
        </w:rPr>
        <w:t>incur</w:t>
      </w:r>
      <w:r w:rsidRPr="0028378F">
        <w:rPr>
          <w:rFonts w:ascii="Times New Roman" w:hAnsi="Times New Roman"/>
          <w:sz w:val="24"/>
          <w:szCs w:val="24"/>
        </w:rPr>
        <w:t xml:space="preserve"> from the OTCs </w:t>
      </w:r>
      <w:r w:rsidR="00FF31BC">
        <w:rPr>
          <w:rFonts w:ascii="Times New Roman" w:hAnsi="Times New Roman"/>
          <w:sz w:val="24"/>
          <w:szCs w:val="24"/>
        </w:rPr>
        <w:t xml:space="preserve">alone </w:t>
      </w:r>
      <w:r w:rsidRPr="0028378F">
        <w:rPr>
          <w:rFonts w:ascii="Times New Roman" w:hAnsi="Times New Roman"/>
          <w:sz w:val="24"/>
          <w:szCs w:val="24"/>
        </w:rPr>
        <w:t xml:space="preserve">due to their legislative proposal </w:t>
      </w:r>
      <w:r w:rsidR="00DC14EF">
        <w:rPr>
          <w:rFonts w:ascii="Times New Roman" w:hAnsi="Times New Roman"/>
          <w:sz w:val="24"/>
          <w:szCs w:val="24"/>
        </w:rPr>
        <w:t>would</w:t>
      </w:r>
      <w:r w:rsidRPr="0028378F">
        <w:rPr>
          <w:rFonts w:ascii="Times New Roman" w:hAnsi="Times New Roman"/>
          <w:sz w:val="24"/>
          <w:szCs w:val="24"/>
        </w:rPr>
        <w:t xml:space="preserve"> exceed $1 billion.  The revenue loss is likely to increase significantly if hotels adopt the business model of the OTCs and could become an annual revenue loss to </w:t>
      </w:r>
      <w:r w:rsidR="00094DF3">
        <w:rPr>
          <w:rFonts w:ascii="Times New Roman" w:hAnsi="Times New Roman"/>
          <w:sz w:val="24"/>
          <w:szCs w:val="24"/>
        </w:rPr>
        <w:t xml:space="preserve">state and </w:t>
      </w:r>
      <w:r w:rsidRPr="0028378F">
        <w:rPr>
          <w:rFonts w:ascii="Times New Roman" w:hAnsi="Times New Roman"/>
          <w:sz w:val="24"/>
          <w:szCs w:val="24"/>
        </w:rPr>
        <w:t>local governments of $8.5 billion.</w:t>
      </w:r>
    </w:p>
    <w:p w:rsidR="0028378F" w:rsidRPr="0028378F" w:rsidRDefault="00453D78" w:rsidP="005B0E38">
      <w:pPr>
        <w:spacing w:after="0" w:line="480" w:lineRule="auto"/>
        <w:ind w:firstLine="720"/>
        <w:rPr>
          <w:rFonts w:ascii="Times New Roman" w:hAnsi="Times New Roman"/>
          <w:color w:val="000000"/>
          <w:sz w:val="24"/>
          <w:szCs w:val="24"/>
        </w:rPr>
      </w:pPr>
      <w:r>
        <w:rPr>
          <w:rFonts w:ascii="Times New Roman" w:hAnsi="Times New Roman"/>
          <w:sz w:val="24"/>
          <w:szCs w:val="24"/>
        </w:rPr>
        <w:t xml:space="preserve">We </w:t>
      </w:r>
      <w:r w:rsidR="0028378F" w:rsidRPr="0028378F">
        <w:rPr>
          <w:rFonts w:ascii="Times New Roman" w:hAnsi="Times New Roman"/>
          <w:sz w:val="24"/>
          <w:szCs w:val="24"/>
        </w:rPr>
        <w:t xml:space="preserve">ask Members of Congress to oppose any legislation that would </w:t>
      </w:r>
      <w:r w:rsidR="001E700E">
        <w:rPr>
          <w:rFonts w:ascii="Times New Roman" w:hAnsi="Times New Roman"/>
          <w:sz w:val="24"/>
          <w:szCs w:val="24"/>
        </w:rPr>
        <w:t xml:space="preserve">preempt state and local hotel tax authority or </w:t>
      </w:r>
      <w:r w:rsidR="00B14AB8">
        <w:rPr>
          <w:rFonts w:ascii="Times New Roman" w:hAnsi="Times New Roman"/>
          <w:sz w:val="24"/>
          <w:szCs w:val="24"/>
        </w:rPr>
        <w:t xml:space="preserve">that </w:t>
      </w:r>
      <w:r w:rsidR="001E700E">
        <w:rPr>
          <w:rFonts w:ascii="Times New Roman" w:hAnsi="Times New Roman"/>
          <w:sz w:val="24"/>
          <w:szCs w:val="24"/>
        </w:rPr>
        <w:t xml:space="preserve">would </w:t>
      </w:r>
      <w:r w:rsidR="00C52863">
        <w:rPr>
          <w:rFonts w:ascii="Times New Roman" w:hAnsi="Times New Roman"/>
          <w:sz w:val="24"/>
          <w:szCs w:val="24"/>
        </w:rPr>
        <w:t xml:space="preserve">bar </w:t>
      </w:r>
      <w:r w:rsidR="001E700E">
        <w:rPr>
          <w:rFonts w:ascii="Times New Roman" w:hAnsi="Times New Roman"/>
          <w:sz w:val="24"/>
          <w:szCs w:val="24"/>
        </w:rPr>
        <w:t xml:space="preserve">the right of </w:t>
      </w:r>
      <w:r w:rsidR="0028378F" w:rsidRPr="0028378F">
        <w:rPr>
          <w:rFonts w:ascii="Times New Roman" w:hAnsi="Times New Roman"/>
          <w:sz w:val="24"/>
          <w:szCs w:val="24"/>
        </w:rPr>
        <w:t>states and loc</w:t>
      </w:r>
      <w:r w:rsidR="0028378F">
        <w:rPr>
          <w:rFonts w:ascii="Times New Roman" w:hAnsi="Times New Roman"/>
          <w:sz w:val="24"/>
          <w:szCs w:val="24"/>
        </w:rPr>
        <w:t xml:space="preserve">alities to </w:t>
      </w:r>
      <w:r w:rsidR="00AC27A4">
        <w:rPr>
          <w:rFonts w:ascii="Times New Roman" w:hAnsi="Times New Roman"/>
          <w:sz w:val="24"/>
          <w:szCs w:val="24"/>
        </w:rPr>
        <w:t xml:space="preserve">recover unpaid </w:t>
      </w:r>
      <w:r w:rsidR="0028378F">
        <w:rPr>
          <w:rFonts w:ascii="Times New Roman" w:hAnsi="Times New Roman"/>
          <w:sz w:val="24"/>
          <w:szCs w:val="24"/>
        </w:rPr>
        <w:t>hotel taxes</w:t>
      </w:r>
      <w:r w:rsidR="00AC27A4">
        <w:rPr>
          <w:rFonts w:ascii="Times New Roman" w:hAnsi="Times New Roman"/>
          <w:sz w:val="24"/>
          <w:szCs w:val="24"/>
        </w:rPr>
        <w:t xml:space="preserve"> from OTCs</w:t>
      </w:r>
      <w:r w:rsidR="0028378F">
        <w:rPr>
          <w:rFonts w:ascii="Times New Roman" w:hAnsi="Times New Roman"/>
          <w:sz w:val="24"/>
          <w:szCs w:val="24"/>
        </w:rPr>
        <w:t>.</w:t>
      </w:r>
      <w:r>
        <w:rPr>
          <w:rFonts w:ascii="Times New Roman" w:hAnsi="Times New Roman"/>
          <w:sz w:val="24"/>
          <w:szCs w:val="24"/>
        </w:rPr>
        <w:t xml:space="preserve">  We also ask for regular order if such legislation is ever considered.</w:t>
      </w:r>
    </w:p>
    <w:p w:rsidR="00503554" w:rsidRPr="004F0BBF" w:rsidRDefault="009B0F1B" w:rsidP="00503554">
      <w:pPr>
        <w:pStyle w:val="CM13"/>
        <w:spacing w:line="480" w:lineRule="auto"/>
        <w:ind w:firstLine="720"/>
        <w:jc w:val="both"/>
        <w:rPr>
          <w:color w:val="000000"/>
        </w:rPr>
      </w:pPr>
      <w:r w:rsidRPr="0028378F">
        <w:rPr>
          <w:color w:val="000000"/>
        </w:rPr>
        <w:t xml:space="preserve">This </w:t>
      </w:r>
      <w:r w:rsidR="00BC6622">
        <w:rPr>
          <w:color w:val="000000"/>
        </w:rPr>
        <w:t>update</w:t>
      </w:r>
      <w:r w:rsidRPr="0028378F">
        <w:rPr>
          <w:color w:val="000000"/>
        </w:rPr>
        <w:t xml:space="preserve"> </w:t>
      </w:r>
      <w:r w:rsidR="00534242" w:rsidRPr="0028378F">
        <w:rPr>
          <w:color w:val="000000"/>
        </w:rPr>
        <w:t>i</w:t>
      </w:r>
      <w:r w:rsidRPr="0028378F">
        <w:rPr>
          <w:color w:val="000000"/>
        </w:rPr>
        <w:t>dentif</w:t>
      </w:r>
      <w:r w:rsidR="00534242" w:rsidRPr="0028378F">
        <w:rPr>
          <w:color w:val="000000"/>
        </w:rPr>
        <w:t>ies</w:t>
      </w:r>
      <w:r w:rsidRPr="0028378F">
        <w:rPr>
          <w:color w:val="000000"/>
        </w:rPr>
        <w:t xml:space="preserve"> litigation involving OTCs</w:t>
      </w:r>
      <w:r>
        <w:rPr>
          <w:color w:val="000000"/>
        </w:rPr>
        <w:t xml:space="preserve"> and </w:t>
      </w:r>
      <w:r w:rsidR="00BC6622">
        <w:rPr>
          <w:color w:val="000000"/>
        </w:rPr>
        <w:t>government entities as to whether the OTCs have an obligation to collect and remit hotel taxes</w:t>
      </w:r>
      <w:r>
        <w:rPr>
          <w:color w:val="000000"/>
        </w:rPr>
        <w:t xml:space="preserve">.  It </w:t>
      </w:r>
      <w:r w:rsidR="0028378F">
        <w:rPr>
          <w:color w:val="000000"/>
        </w:rPr>
        <w:t xml:space="preserve">presents </w:t>
      </w:r>
      <w:r w:rsidR="00261B6B">
        <w:rPr>
          <w:color w:val="000000"/>
        </w:rPr>
        <w:t xml:space="preserve">decisions </w:t>
      </w:r>
      <w:r>
        <w:rPr>
          <w:color w:val="000000"/>
        </w:rPr>
        <w:t>as per the date indicated and as to the issues noted</w:t>
      </w:r>
      <w:r w:rsidR="0028378F">
        <w:rPr>
          <w:color w:val="000000"/>
        </w:rPr>
        <w:t>, regardless of whom the decision favors</w:t>
      </w:r>
      <w:r>
        <w:rPr>
          <w:color w:val="000000"/>
        </w:rPr>
        <w:t>.</w:t>
      </w:r>
      <w:r w:rsidR="00503554">
        <w:rPr>
          <w:color w:val="000000"/>
        </w:rPr>
        <w:t xml:space="preserve">  </w:t>
      </w:r>
      <w:r w:rsidR="00BC6622">
        <w:rPr>
          <w:color w:val="000000"/>
        </w:rPr>
        <w:t xml:space="preserve">The list </w:t>
      </w:r>
      <w:r w:rsidR="00453D78">
        <w:rPr>
          <w:color w:val="000000"/>
        </w:rPr>
        <w:t xml:space="preserve">also </w:t>
      </w:r>
      <w:r w:rsidR="00BC6622">
        <w:rPr>
          <w:color w:val="000000"/>
        </w:rPr>
        <w:t xml:space="preserve">includes claims against the OTCs involving deceptive trade practices, but does </w:t>
      </w:r>
      <w:r w:rsidR="00503554" w:rsidRPr="004F0BBF">
        <w:rPr>
          <w:color w:val="000000"/>
        </w:rPr>
        <w:t>not inc</w:t>
      </w:r>
      <w:r w:rsidR="00503554">
        <w:rPr>
          <w:color w:val="000000"/>
        </w:rPr>
        <w:t>lu</w:t>
      </w:r>
      <w:r w:rsidR="00503554" w:rsidRPr="004F0BBF">
        <w:rPr>
          <w:color w:val="000000"/>
        </w:rPr>
        <w:t>de cases that were dismissed on</w:t>
      </w:r>
      <w:r w:rsidR="00503554">
        <w:rPr>
          <w:color w:val="000000"/>
        </w:rPr>
        <w:t xml:space="preserve"> </w:t>
      </w:r>
      <w:r w:rsidR="00503554" w:rsidRPr="004F0BBF">
        <w:rPr>
          <w:color w:val="000000"/>
        </w:rPr>
        <w:t>jurisdictiona</w:t>
      </w:r>
      <w:r w:rsidR="00503554">
        <w:rPr>
          <w:color w:val="000000"/>
        </w:rPr>
        <w:t xml:space="preserve">l grounds, which most commonly have resulted in an order that </w:t>
      </w:r>
      <w:r w:rsidR="00503554" w:rsidRPr="004F0BBF">
        <w:rPr>
          <w:color w:val="000000"/>
        </w:rPr>
        <w:t xml:space="preserve">the parties </w:t>
      </w:r>
      <w:r w:rsidR="00503554">
        <w:rPr>
          <w:color w:val="000000"/>
        </w:rPr>
        <w:t>must</w:t>
      </w:r>
      <w:r w:rsidR="00503554" w:rsidRPr="004F0BBF">
        <w:rPr>
          <w:color w:val="000000"/>
        </w:rPr>
        <w:t xml:space="preserve"> f</w:t>
      </w:r>
      <w:r w:rsidR="00503554">
        <w:rPr>
          <w:color w:val="000000"/>
        </w:rPr>
        <w:t>irst</w:t>
      </w:r>
      <w:r w:rsidR="00503554" w:rsidRPr="004F0BBF">
        <w:rPr>
          <w:color w:val="000000"/>
        </w:rPr>
        <w:t xml:space="preserve"> exhaust administrative remedies</w:t>
      </w:r>
      <w:r w:rsidR="00206EF6">
        <w:rPr>
          <w:color w:val="000000"/>
        </w:rPr>
        <w:t xml:space="preserve"> before proceeding to court</w:t>
      </w:r>
      <w:r w:rsidR="008F5950">
        <w:rPr>
          <w:color w:val="000000"/>
        </w:rPr>
        <w:t xml:space="preserve">.  </w:t>
      </w:r>
    </w:p>
    <w:p w:rsidR="00064994" w:rsidRPr="00855700" w:rsidRDefault="007A2ECE" w:rsidP="004F0BBF">
      <w:pPr>
        <w:pStyle w:val="CM3"/>
        <w:spacing w:line="480" w:lineRule="auto"/>
        <w:jc w:val="center"/>
        <w:rPr>
          <w:u w:val="single"/>
        </w:rPr>
      </w:pPr>
      <w:r>
        <w:rPr>
          <w:b/>
          <w:color w:val="000000"/>
          <w:u w:val="single"/>
        </w:rPr>
        <w:lastRenderedPageBreak/>
        <w:t xml:space="preserve">I.  </w:t>
      </w:r>
      <w:r w:rsidR="00064994" w:rsidRPr="00855700">
        <w:rPr>
          <w:b/>
          <w:color w:val="000000"/>
          <w:u w:val="single"/>
        </w:rPr>
        <w:t>Decisions on the Merits</w:t>
      </w:r>
    </w:p>
    <w:p w:rsidR="004F0BBF" w:rsidRDefault="00064994" w:rsidP="004F0BBF">
      <w:pPr>
        <w:pStyle w:val="CM9"/>
        <w:spacing w:line="480" w:lineRule="auto"/>
        <w:ind w:firstLine="720"/>
        <w:rPr>
          <w:color w:val="000000"/>
        </w:rPr>
      </w:pPr>
      <w:r w:rsidRPr="004F0BBF">
        <w:rPr>
          <w:color w:val="000000"/>
        </w:rPr>
        <w:t xml:space="preserve">The following </w:t>
      </w:r>
      <w:r w:rsidR="009B0F1B">
        <w:rPr>
          <w:color w:val="000000"/>
        </w:rPr>
        <w:t xml:space="preserve">cases </w:t>
      </w:r>
      <w:r w:rsidR="0091429B">
        <w:rPr>
          <w:color w:val="000000"/>
        </w:rPr>
        <w:t xml:space="preserve">were decided </w:t>
      </w:r>
      <w:r w:rsidR="009B0F1B">
        <w:rPr>
          <w:color w:val="000000"/>
        </w:rPr>
        <w:t xml:space="preserve">on the merits, meaning </w:t>
      </w:r>
      <w:r w:rsidR="001267FD">
        <w:rPr>
          <w:color w:val="000000"/>
        </w:rPr>
        <w:t xml:space="preserve">a decision </w:t>
      </w:r>
      <w:r w:rsidR="0040322C" w:rsidRPr="004F0BBF">
        <w:rPr>
          <w:color w:val="000000"/>
        </w:rPr>
        <w:t xml:space="preserve">was </w:t>
      </w:r>
      <w:r w:rsidR="001267FD">
        <w:rPr>
          <w:color w:val="000000"/>
        </w:rPr>
        <w:t>made</w:t>
      </w:r>
      <w:r w:rsidR="0040322C" w:rsidRPr="004F0BBF">
        <w:rPr>
          <w:color w:val="000000"/>
        </w:rPr>
        <w:t xml:space="preserve"> after consideration of evidence</w:t>
      </w:r>
      <w:r w:rsidR="0091429B">
        <w:rPr>
          <w:color w:val="000000"/>
        </w:rPr>
        <w:t xml:space="preserve"> presented by all parties</w:t>
      </w:r>
      <w:r w:rsidR="001F1FAC" w:rsidRPr="004F0BBF">
        <w:rPr>
          <w:color w:val="000000"/>
        </w:rPr>
        <w:t xml:space="preserve">.  Generally speaking, </w:t>
      </w:r>
      <w:r w:rsidRPr="004F0BBF">
        <w:rPr>
          <w:color w:val="000000"/>
        </w:rPr>
        <w:t xml:space="preserve">the </w:t>
      </w:r>
      <w:r w:rsidR="0075158A">
        <w:rPr>
          <w:color w:val="000000"/>
        </w:rPr>
        <w:t>judges and juries</w:t>
      </w:r>
      <w:r w:rsidRPr="004F0BBF">
        <w:rPr>
          <w:color w:val="000000"/>
        </w:rPr>
        <w:t xml:space="preserve"> </w:t>
      </w:r>
      <w:r w:rsidR="00020234">
        <w:rPr>
          <w:color w:val="000000"/>
        </w:rPr>
        <w:t xml:space="preserve">involved </w:t>
      </w:r>
      <w:r w:rsidR="001F1FAC" w:rsidRPr="004F0BBF">
        <w:rPr>
          <w:color w:val="000000"/>
        </w:rPr>
        <w:t xml:space="preserve">in these decisions </w:t>
      </w:r>
      <w:r w:rsidRPr="004F0BBF">
        <w:rPr>
          <w:color w:val="000000"/>
        </w:rPr>
        <w:t xml:space="preserve">considered two key questions:  </w:t>
      </w:r>
    </w:p>
    <w:p w:rsidR="0075158A" w:rsidRDefault="00B348D2" w:rsidP="002B712F">
      <w:pPr>
        <w:pStyle w:val="CM9"/>
        <w:numPr>
          <w:ilvl w:val="0"/>
          <w:numId w:val="26"/>
        </w:numPr>
        <w:spacing w:line="480" w:lineRule="auto"/>
        <w:rPr>
          <w:color w:val="000000"/>
        </w:rPr>
      </w:pPr>
      <w:r>
        <w:rPr>
          <w:color w:val="000000"/>
        </w:rPr>
        <w:t>wer</w:t>
      </w:r>
      <w:r w:rsidR="003D011C">
        <w:rPr>
          <w:color w:val="000000"/>
        </w:rPr>
        <w:t>e the OTCs subject to statutes, ordinances, or other authorities that require</w:t>
      </w:r>
      <w:r>
        <w:rPr>
          <w:color w:val="000000"/>
        </w:rPr>
        <w:t>d</w:t>
      </w:r>
      <w:r w:rsidR="003D011C">
        <w:rPr>
          <w:color w:val="000000"/>
        </w:rPr>
        <w:t xml:space="preserve"> them to collect and remit or pay state or local hotel taxes</w:t>
      </w:r>
      <w:r w:rsidR="00D018EF" w:rsidRPr="004F0BBF">
        <w:rPr>
          <w:color w:val="000000"/>
        </w:rPr>
        <w:t>; and</w:t>
      </w:r>
    </w:p>
    <w:p w:rsidR="00900B00" w:rsidRDefault="00D018EF" w:rsidP="002B712F">
      <w:pPr>
        <w:pStyle w:val="CM9"/>
        <w:numPr>
          <w:ilvl w:val="0"/>
          <w:numId w:val="26"/>
        </w:numPr>
        <w:spacing w:line="480" w:lineRule="auto"/>
        <w:rPr>
          <w:color w:val="000000"/>
        </w:rPr>
      </w:pPr>
      <w:r w:rsidRPr="004F0BBF">
        <w:rPr>
          <w:color w:val="000000"/>
        </w:rPr>
        <w:t xml:space="preserve">if the OTCs </w:t>
      </w:r>
      <w:r w:rsidR="00B348D2">
        <w:rPr>
          <w:color w:val="000000"/>
        </w:rPr>
        <w:t>wer</w:t>
      </w:r>
      <w:r w:rsidRPr="004F0BBF">
        <w:rPr>
          <w:color w:val="000000"/>
        </w:rPr>
        <w:t>e required to collect and remit or pay hotel tax</w:t>
      </w:r>
      <w:r w:rsidR="003D011C">
        <w:rPr>
          <w:color w:val="000000"/>
        </w:rPr>
        <w:t>es</w:t>
      </w:r>
      <w:r w:rsidRPr="004F0BBF">
        <w:rPr>
          <w:color w:val="000000"/>
        </w:rPr>
        <w:t xml:space="preserve">, is the proper tax base the </w:t>
      </w:r>
      <w:r w:rsidR="003D011C">
        <w:rPr>
          <w:color w:val="000000"/>
        </w:rPr>
        <w:t xml:space="preserve">marked up retail rates that the OTCs charge and collect from their customers, the hotel guests, or is </w:t>
      </w:r>
      <w:r w:rsidR="00D20D97">
        <w:rPr>
          <w:color w:val="000000"/>
        </w:rPr>
        <w:t>it</w:t>
      </w:r>
      <w:r w:rsidR="003D011C">
        <w:rPr>
          <w:color w:val="000000"/>
        </w:rPr>
        <w:t xml:space="preserve"> the discounted wholesale rates agreed to between the OTCs and their suppliers, the hotels</w:t>
      </w:r>
      <w:r w:rsidRPr="004F0BBF">
        <w:rPr>
          <w:color w:val="000000"/>
        </w:rPr>
        <w:t>?</w:t>
      </w:r>
    </w:p>
    <w:p w:rsidR="002A388E" w:rsidRPr="002A388E" w:rsidRDefault="002A388E" w:rsidP="002A388E">
      <w:pPr>
        <w:pStyle w:val="Default"/>
      </w:pPr>
    </w:p>
    <w:p w:rsidR="004F0BBF" w:rsidRPr="00855700" w:rsidRDefault="00AC3507" w:rsidP="00AC3507">
      <w:pPr>
        <w:pStyle w:val="CM9"/>
        <w:spacing w:line="480" w:lineRule="auto"/>
        <w:rPr>
          <w:b/>
          <w:color w:val="000000"/>
        </w:rPr>
      </w:pPr>
      <w:r>
        <w:rPr>
          <w:b/>
          <w:color w:val="000000"/>
        </w:rPr>
        <w:t xml:space="preserve">A.  </w:t>
      </w:r>
      <w:r w:rsidR="004F0BBF" w:rsidRPr="00855700">
        <w:rPr>
          <w:b/>
          <w:color w:val="000000"/>
        </w:rPr>
        <w:t>Decisions on the Merits in the Governments' Favor</w:t>
      </w:r>
    </w:p>
    <w:p w:rsidR="008759B1" w:rsidRPr="008759B1" w:rsidRDefault="00A770D5" w:rsidP="008759B1">
      <w:pPr>
        <w:pStyle w:val="CM12"/>
        <w:numPr>
          <w:ilvl w:val="0"/>
          <w:numId w:val="23"/>
        </w:numPr>
        <w:spacing w:line="480" w:lineRule="auto"/>
      </w:pPr>
      <w:r>
        <w:t>I</w:t>
      </w:r>
      <w:r w:rsidR="00282687">
        <w:t xml:space="preserve">n </w:t>
      </w:r>
      <w:r w:rsidR="00282687" w:rsidRPr="00282687">
        <w:rPr>
          <w:i/>
        </w:rPr>
        <w:t>City of San Antonio v. Hotels.com</w:t>
      </w:r>
      <w:r w:rsidR="00282687">
        <w:t>, Civil No. SA-06-CA-381-OG (</w:t>
      </w:r>
      <w:r>
        <w:t>W.D. Tex. Oct. 30, 2009</w:t>
      </w:r>
      <w:r w:rsidR="00282687">
        <w:t xml:space="preserve">), </w:t>
      </w:r>
      <w:r w:rsidR="004F0BBF" w:rsidRPr="004F0BBF">
        <w:t xml:space="preserve">a jury entered a </w:t>
      </w:r>
      <w:r w:rsidR="00855700">
        <w:t xml:space="preserve">unanimous </w:t>
      </w:r>
      <w:r w:rsidR="004F0BBF" w:rsidRPr="004F0BBF">
        <w:t xml:space="preserve">verdict for over $20 million in unpaid hotel taxes against </w:t>
      </w:r>
      <w:r w:rsidR="00855700">
        <w:t>certain OTCs</w:t>
      </w:r>
      <w:r w:rsidR="004F0BBF" w:rsidRPr="004F0BBF">
        <w:t xml:space="preserve"> in favor of a class of over 17</w:t>
      </w:r>
      <w:r w:rsidR="001267FD">
        <w:t>0</w:t>
      </w:r>
      <w:r w:rsidR="004F0BBF" w:rsidRPr="004F0BBF">
        <w:t xml:space="preserve"> Texas cities</w:t>
      </w:r>
      <w:r w:rsidR="003F1F4E">
        <w:t>.</w:t>
      </w:r>
      <w:r w:rsidR="003F75D0">
        <w:t xml:space="preserve">  </w:t>
      </w:r>
      <w:r w:rsidR="00DE1EA1">
        <w:rPr>
          <w:color w:val="000000"/>
        </w:rPr>
        <w:t>On July 1, 2011, the court signed findings of fact and conclusions of law in the case.</w:t>
      </w:r>
      <w:r w:rsidR="008759B1" w:rsidRPr="008759B1">
        <w:rPr>
          <w:color w:val="000000"/>
        </w:rPr>
        <w:t xml:space="preserve">  </w:t>
      </w:r>
      <w:r w:rsidR="00EC64CF" w:rsidRPr="00EC64CF">
        <w:rPr>
          <w:i/>
          <w:color w:val="000000"/>
        </w:rPr>
        <w:t xml:space="preserve">See </w:t>
      </w:r>
      <w:r w:rsidR="00EC64CF">
        <w:rPr>
          <w:color w:val="000000"/>
        </w:rPr>
        <w:t xml:space="preserve">2011 U.S. Dist. LEXIS 72665.  </w:t>
      </w:r>
      <w:r w:rsidR="008759B1" w:rsidRPr="008759B1">
        <w:rPr>
          <w:color w:val="000000"/>
        </w:rPr>
        <w:t xml:space="preserve">An appeal </w:t>
      </w:r>
      <w:r w:rsidR="00DE1EA1">
        <w:rPr>
          <w:color w:val="000000"/>
        </w:rPr>
        <w:t>by the OTCs to the 5</w:t>
      </w:r>
      <w:r w:rsidR="00DE1EA1" w:rsidRPr="00DE1EA1">
        <w:rPr>
          <w:color w:val="000000"/>
          <w:vertAlign w:val="superscript"/>
        </w:rPr>
        <w:t>th</w:t>
      </w:r>
      <w:r w:rsidR="00DE1EA1">
        <w:rPr>
          <w:color w:val="000000"/>
        </w:rPr>
        <w:t xml:space="preserve"> Circuit Court of Appeals </w:t>
      </w:r>
      <w:r w:rsidR="008759B1" w:rsidRPr="008759B1">
        <w:rPr>
          <w:color w:val="000000"/>
        </w:rPr>
        <w:t xml:space="preserve">is expected. </w:t>
      </w:r>
    </w:p>
    <w:p w:rsidR="00855700" w:rsidRDefault="004F0BBF" w:rsidP="008759B1">
      <w:pPr>
        <w:pStyle w:val="Default"/>
        <w:numPr>
          <w:ilvl w:val="0"/>
          <w:numId w:val="23"/>
        </w:numPr>
        <w:spacing w:line="480" w:lineRule="auto"/>
      </w:pPr>
      <w:r w:rsidRPr="004F0BBF">
        <w:t xml:space="preserve">After a hearing, the San Francisco Tax Administrator determined that </w:t>
      </w:r>
      <w:r w:rsidR="00F61CCC">
        <w:t>OTCs were “operators” of hotels under the applicable ordinance</w:t>
      </w:r>
      <w:r w:rsidRPr="004F0BBF">
        <w:t xml:space="preserve">. </w:t>
      </w:r>
      <w:r w:rsidR="005C1B87">
        <w:t xml:space="preserve"> </w:t>
      </w:r>
      <w:r w:rsidR="00F61CCC">
        <w:t>T</w:t>
      </w:r>
      <w:r w:rsidRPr="004F0BBF">
        <w:t>he San Francisco Office of</w:t>
      </w:r>
      <w:r w:rsidR="003F1F4E">
        <w:t xml:space="preserve"> </w:t>
      </w:r>
      <w:r w:rsidRPr="004F0BBF">
        <w:t xml:space="preserve">the Treasurer and Tax Collector affirmed </w:t>
      </w:r>
      <w:r w:rsidR="00F61CCC">
        <w:t>the decision</w:t>
      </w:r>
      <w:r w:rsidRPr="004F0BBF">
        <w:t xml:space="preserve">. </w:t>
      </w:r>
      <w:r w:rsidR="00490B94">
        <w:t xml:space="preserve"> </w:t>
      </w:r>
      <w:r w:rsidRPr="005D6D17">
        <w:rPr>
          <w:i/>
        </w:rPr>
        <w:t>See</w:t>
      </w:r>
      <w:r w:rsidRPr="004F0BBF">
        <w:t xml:space="preserve"> San Francisco Office of</w:t>
      </w:r>
      <w:r w:rsidR="003F1F4E">
        <w:t xml:space="preserve"> </w:t>
      </w:r>
      <w:r w:rsidRPr="004F0BBF">
        <w:t>the Treasurer's letter dated April 30, 2009 to Expedia, Inc.</w:t>
      </w:r>
      <w:r w:rsidR="00855700">
        <w:t xml:space="preserve">  </w:t>
      </w:r>
      <w:r w:rsidR="008759B1">
        <w:t xml:space="preserve">Expedia and other OTCs have filed suit to overturn the decision and seek a refund of the money found owed and paid. </w:t>
      </w:r>
    </w:p>
    <w:p w:rsidR="004F0BBF" w:rsidRPr="004F0BBF" w:rsidRDefault="009B7C6E" w:rsidP="002B712F">
      <w:pPr>
        <w:pStyle w:val="Default"/>
        <w:numPr>
          <w:ilvl w:val="0"/>
          <w:numId w:val="23"/>
        </w:numPr>
        <w:spacing w:line="480" w:lineRule="auto"/>
      </w:pPr>
      <w:r>
        <w:t>On January 18, 2011,</w:t>
      </w:r>
      <w:r w:rsidR="00855700">
        <w:t xml:space="preserve"> </w:t>
      </w:r>
      <w:r w:rsidR="00D352BB">
        <w:t xml:space="preserve">in a decision that for the first time addressed whether OTCs have substantial nexus in the states where they sell hotel rooms, </w:t>
      </w:r>
      <w:r>
        <w:t xml:space="preserve">the </w:t>
      </w:r>
      <w:r w:rsidR="00855700">
        <w:t xml:space="preserve">South Carolina Supreme </w:t>
      </w:r>
      <w:r w:rsidR="00855700">
        <w:lastRenderedPageBreak/>
        <w:t>Court</w:t>
      </w:r>
      <w:r>
        <w:t xml:space="preserve"> </w:t>
      </w:r>
      <w:r w:rsidR="001267FD">
        <w:t xml:space="preserve">ruled for the state and </w:t>
      </w:r>
      <w:r w:rsidR="00E8250D">
        <w:t>concluded that the controlling statute “imposes a sales tax on the gross proceeds received by Travelscape in exchange for furnishing hotel accommodations in South Carolina</w:t>
      </w:r>
      <w:r w:rsidR="00855700">
        <w:t>.</w:t>
      </w:r>
      <w:r w:rsidR="00E8250D">
        <w:t xml:space="preserve">”  The court also concluded that there was no violation of the Commerce Clause </w:t>
      </w:r>
      <w:r w:rsidR="005247F2">
        <w:t xml:space="preserve">on the basis of insufficient contacts with the state </w:t>
      </w:r>
      <w:r w:rsidR="00E8250D">
        <w:t>because Travelscape employees and representatives visited South Carolina to enable Travelscape to establish and maintain hotel relationships and th</w:t>
      </w:r>
      <w:r w:rsidR="005247F2">
        <w:t>ose</w:t>
      </w:r>
      <w:r w:rsidR="00E8250D">
        <w:t xml:space="preserve"> relationships helped Travelscape to establish and maintain a market in the state</w:t>
      </w:r>
      <w:r w:rsidR="005247F2">
        <w:t xml:space="preserve"> for its sales.</w:t>
      </w:r>
      <w:r w:rsidR="00D352BB">
        <w:t xml:space="preserve">  </w:t>
      </w:r>
      <w:r w:rsidR="000B7F6E" w:rsidRPr="00B207BB">
        <w:rPr>
          <w:i/>
        </w:rPr>
        <w:t xml:space="preserve">See </w:t>
      </w:r>
      <w:r w:rsidR="000B7F6E" w:rsidRPr="00B207BB">
        <w:rPr>
          <w:i/>
          <w:iCs/>
        </w:rPr>
        <w:t xml:space="preserve">Travelscape, </w:t>
      </w:r>
      <w:r w:rsidR="000B7F6E" w:rsidRPr="00B207BB">
        <w:rPr>
          <w:i/>
        </w:rPr>
        <w:t>LLC v. South Carolina Department of Revenue</w:t>
      </w:r>
      <w:r w:rsidR="00D46E98">
        <w:t xml:space="preserve">, </w:t>
      </w:r>
      <w:r w:rsidR="00A349F2">
        <w:t>705 S.E. 2d 28 (</w:t>
      </w:r>
      <w:r w:rsidR="00D46E98">
        <w:t>S.C. 2011</w:t>
      </w:r>
      <w:r w:rsidR="00A349F2">
        <w:t>)</w:t>
      </w:r>
      <w:r w:rsidR="00D46E98">
        <w:t xml:space="preserve">.  </w:t>
      </w:r>
    </w:p>
    <w:p w:rsidR="004F0BBF" w:rsidRPr="004F0BBF" w:rsidRDefault="004F0BBF" w:rsidP="002B712F">
      <w:pPr>
        <w:pStyle w:val="Default"/>
        <w:numPr>
          <w:ilvl w:val="0"/>
          <w:numId w:val="23"/>
        </w:numPr>
        <w:spacing w:line="480" w:lineRule="auto"/>
      </w:pPr>
      <w:r w:rsidRPr="004F0BBF">
        <w:t>On January 30, 2009, the Indiana Department of</w:t>
      </w:r>
      <w:r w:rsidR="003F1F4E">
        <w:t xml:space="preserve"> </w:t>
      </w:r>
      <w:r w:rsidRPr="004F0BBF">
        <w:t xml:space="preserve">Revenue denied Expedia's protest to a tax assessment and ruled that it should have remitted taxes on the total amounts collected from </w:t>
      </w:r>
      <w:r w:rsidRPr="00415142">
        <w:rPr>
          <w:iCs/>
        </w:rPr>
        <w:t xml:space="preserve">its </w:t>
      </w:r>
      <w:r w:rsidRPr="00415142">
        <w:t>c</w:t>
      </w:r>
      <w:r w:rsidRPr="004F0BBF">
        <w:t>ustomers for the rental of</w:t>
      </w:r>
      <w:r w:rsidR="003F1F4E">
        <w:t xml:space="preserve"> </w:t>
      </w:r>
      <w:r w:rsidR="00B207BB">
        <w:t xml:space="preserve">hotel rooms. </w:t>
      </w:r>
      <w:r w:rsidR="00415142">
        <w:t xml:space="preserve"> </w:t>
      </w:r>
      <w:r w:rsidRPr="00B207BB">
        <w:rPr>
          <w:i/>
        </w:rPr>
        <w:t>See</w:t>
      </w:r>
      <w:r w:rsidRPr="004F0BBF">
        <w:t xml:space="preserve"> Department of</w:t>
      </w:r>
      <w:r w:rsidR="003F1F4E">
        <w:t xml:space="preserve"> </w:t>
      </w:r>
      <w:r w:rsidRPr="004F0BBF">
        <w:t>State Revenue, Letter of</w:t>
      </w:r>
      <w:r w:rsidR="003F1F4E">
        <w:t xml:space="preserve"> </w:t>
      </w:r>
      <w:r w:rsidRPr="004F0BBF">
        <w:t>Findings No. 08-0434, Jan. 30, 2009.</w:t>
      </w:r>
      <w:r w:rsidR="0012182F">
        <w:t xml:space="preserve">    </w:t>
      </w:r>
      <w:r w:rsidRPr="004F0BBF">
        <w:t xml:space="preserve"> </w:t>
      </w:r>
    </w:p>
    <w:p w:rsidR="001267FD" w:rsidRPr="001267FD" w:rsidRDefault="00D46E98" w:rsidP="001267FD">
      <w:pPr>
        <w:pStyle w:val="ListParagraph"/>
        <w:numPr>
          <w:ilvl w:val="0"/>
          <w:numId w:val="23"/>
        </w:numPr>
        <w:spacing w:after="0" w:line="480" w:lineRule="auto"/>
        <w:rPr>
          <w:rFonts w:ascii="Times New Roman" w:hAnsi="Times New Roman"/>
          <w:sz w:val="24"/>
          <w:szCs w:val="24"/>
        </w:rPr>
      </w:pPr>
      <w:r w:rsidRPr="001267FD">
        <w:rPr>
          <w:rFonts w:ascii="Times New Roman" w:hAnsi="Times New Roman"/>
          <w:sz w:val="24"/>
          <w:szCs w:val="24"/>
        </w:rPr>
        <w:t>In a final decision that is no longer subject to appeal, the Georgia Supreme Court upheld an</w:t>
      </w:r>
      <w:r w:rsidR="004F0BBF" w:rsidRPr="001267FD">
        <w:rPr>
          <w:rFonts w:ascii="Times New Roman" w:hAnsi="Times New Roman"/>
          <w:sz w:val="24"/>
          <w:szCs w:val="24"/>
        </w:rPr>
        <w:t xml:space="preserve"> injunction against Expedia to compel it to pay hotel taxes on the </w:t>
      </w:r>
      <w:r w:rsidR="002760DB">
        <w:rPr>
          <w:rFonts w:ascii="Times New Roman" w:hAnsi="Times New Roman"/>
          <w:sz w:val="24"/>
          <w:szCs w:val="24"/>
        </w:rPr>
        <w:t>total</w:t>
      </w:r>
      <w:r w:rsidR="004F0BBF" w:rsidRPr="001267FD">
        <w:rPr>
          <w:rFonts w:ascii="Times New Roman" w:hAnsi="Times New Roman"/>
          <w:iCs/>
          <w:sz w:val="24"/>
          <w:szCs w:val="24"/>
        </w:rPr>
        <w:t xml:space="preserve"> </w:t>
      </w:r>
      <w:r w:rsidR="002760DB">
        <w:rPr>
          <w:rFonts w:ascii="Times New Roman" w:hAnsi="Times New Roman"/>
          <w:iCs/>
          <w:sz w:val="24"/>
          <w:szCs w:val="24"/>
        </w:rPr>
        <w:t>amount</w:t>
      </w:r>
      <w:r w:rsidR="004F0BBF" w:rsidRPr="001267FD">
        <w:rPr>
          <w:rFonts w:ascii="Times New Roman" w:hAnsi="Times New Roman"/>
          <w:sz w:val="24"/>
          <w:szCs w:val="24"/>
        </w:rPr>
        <w:t xml:space="preserve"> received from its customers.</w:t>
      </w:r>
      <w:r w:rsidR="001267FD" w:rsidRPr="001267FD">
        <w:rPr>
          <w:rFonts w:ascii="Times New Roman" w:hAnsi="Times New Roman"/>
          <w:sz w:val="24"/>
          <w:szCs w:val="24"/>
        </w:rPr>
        <w:t xml:space="preserve"> </w:t>
      </w:r>
      <w:r w:rsidR="001267FD">
        <w:rPr>
          <w:rFonts w:ascii="Times New Roman" w:hAnsi="Times New Roman"/>
          <w:sz w:val="24"/>
          <w:szCs w:val="24"/>
        </w:rPr>
        <w:t xml:space="preserve"> </w:t>
      </w:r>
      <w:r w:rsidR="001267FD" w:rsidRPr="001267FD">
        <w:rPr>
          <w:rFonts w:ascii="Times New Roman" w:hAnsi="Times New Roman"/>
          <w:sz w:val="24"/>
          <w:szCs w:val="24"/>
        </w:rPr>
        <w:t>This state’s highest court found that OTCs agreed to collect hotel taxes through their contracts with the hotels and by virtue of these</w:t>
      </w:r>
      <w:r w:rsidR="001267FD" w:rsidRPr="0063201B">
        <w:rPr>
          <w:rFonts w:ascii="Times New Roman" w:hAnsi="Times New Roman"/>
          <w:sz w:val="24"/>
          <w:szCs w:val="24"/>
        </w:rPr>
        <w:t xml:space="preserve"> agreement</w:t>
      </w:r>
      <w:r w:rsidR="001267FD">
        <w:rPr>
          <w:rFonts w:ascii="Times New Roman" w:hAnsi="Times New Roman"/>
          <w:sz w:val="24"/>
          <w:szCs w:val="24"/>
        </w:rPr>
        <w:t>s</w:t>
      </w:r>
      <w:r w:rsidR="001267FD" w:rsidRPr="0063201B">
        <w:rPr>
          <w:rFonts w:ascii="Times New Roman" w:hAnsi="Times New Roman"/>
          <w:sz w:val="24"/>
          <w:szCs w:val="24"/>
        </w:rPr>
        <w:t xml:space="preserve"> were duty bound to collect and remit </w:t>
      </w:r>
      <w:r w:rsidR="001267FD">
        <w:rPr>
          <w:rFonts w:ascii="Times New Roman" w:hAnsi="Times New Roman"/>
          <w:sz w:val="24"/>
          <w:szCs w:val="24"/>
        </w:rPr>
        <w:t xml:space="preserve">hotel taxes </w:t>
      </w:r>
      <w:r w:rsidR="001267FD" w:rsidRPr="0063201B">
        <w:rPr>
          <w:rFonts w:ascii="Times New Roman" w:hAnsi="Times New Roman"/>
          <w:sz w:val="24"/>
          <w:szCs w:val="24"/>
        </w:rPr>
        <w:t>to the appropriate government entity.</w:t>
      </w:r>
      <w:r w:rsidR="001267FD">
        <w:rPr>
          <w:rFonts w:ascii="Times New Roman" w:hAnsi="Times New Roman"/>
          <w:sz w:val="24"/>
          <w:szCs w:val="24"/>
        </w:rPr>
        <w:t xml:space="preserve">  </w:t>
      </w:r>
      <w:r w:rsidR="004F0BBF" w:rsidRPr="001267FD">
        <w:rPr>
          <w:rFonts w:ascii="Times New Roman" w:hAnsi="Times New Roman"/>
          <w:i/>
          <w:sz w:val="24"/>
          <w:szCs w:val="24"/>
        </w:rPr>
        <w:t xml:space="preserve">See Expedia, Inc. v. </w:t>
      </w:r>
      <w:r w:rsidR="004F0BBF" w:rsidRPr="001267FD">
        <w:rPr>
          <w:rFonts w:ascii="Times New Roman" w:hAnsi="Times New Roman"/>
          <w:i/>
          <w:iCs/>
          <w:sz w:val="24"/>
          <w:szCs w:val="24"/>
        </w:rPr>
        <w:t xml:space="preserve">City </w:t>
      </w:r>
      <w:r w:rsidR="004F0BBF" w:rsidRPr="001267FD">
        <w:rPr>
          <w:rFonts w:ascii="Times New Roman" w:hAnsi="Times New Roman"/>
          <w:i/>
          <w:sz w:val="24"/>
          <w:szCs w:val="24"/>
        </w:rPr>
        <w:t>of</w:t>
      </w:r>
      <w:r w:rsidR="003F1F4E" w:rsidRPr="001267FD">
        <w:rPr>
          <w:rFonts w:ascii="Times New Roman" w:hAnsi="Times New Roman"/>
          <w:i/>
          <w:sz w:val="24"/>
          <w:szCs w:val="24"/>
        </w:rPr>
        <w:t xml:space="preserve"> </w:t>
      </w:r>
      <w:r w:rsidR="004F0BBF" w:rsidRPr="001267FD">
        <w:rPr>
          <w:rFonts w:ascii="Times New Roman" w:hAnsi="Times New Roman"/>
          <w:i/>
          <w:sz w:val="24"/>
          <w:szCs w:val="24"/>
        </w:rPr>
        <w:t>Columbus</w:t>
      </w:r>
      <w:r w:rsidR="004F0BBF" w:rsidRPr="001267FD">
        <w:rPr>
          <w:rFonts w:ascii="Times New Roman" w:hAnsi="Times New Roman"/>
          <w:sz w:val="24"/>
          <w:szCs w:val="24"/>
        </w:rPr>
        <w:t>, 681 S.E. 2d 122 (Ga. June 15,</w:t>
      </w:r>
      <w:r w:rsidR="00900B00" w:rsidRPr="001267FD">
        <w:rPr>
          <w:rFonts w:ascii="Times New Roman" w:hAnsi="Times New Roman"/>
          <w:sz w:val="24"/>
          <w:szCs w:val="24"/>
        </w:rPr>
        <w:t xml:space="preserve"> </w:t>
      </w:r>
      <w:r w:rsidR="004F0BBF" w:rsidRPr="001267FD">
        <w:rPr>
          <w:rFonts w:ascii="Times New Roman" w:hAnsi="Times New Roman"/>
          <w:sz w:val="24"/>
          <w:szCs w:val="24"/>
        </w:rPr>
        <w:t xml:space="preserve">2009). </w:t>
      </w:r>
      <w:r w:rsidR="003F1F4E" w:rsidRPr="001267FD">
        <w:rPr>
          <w:rFonts w:ascii="Times New Roman" w:hAnsi="Times New Roman"/>
          <w:sz w:val="24"/>
          <w:szCs w:val="24"/>
        </w:rPr>
        <w:t xml:space="preserve"> </w:t>
      </w:r>
      <w:r w:rsidR="0091429B" w:rsidRPr="001267FD">
        <w:rPr>
          <w:rFonts w:ascii="Times New Roman" w:hAnsi="Times New Roman"/>
          <w:i/>
          <w:sz w:val="24"/>
          <w:szCs w:val="24"/>
        </w:rPr>
        <w:t>S</w:t>
      </w:r>
      <w:r w:rsidR="004F0BBF" w:rsidRPr="001267FD">
        <w:rPr>
          <w:rFonts w:ascii="Times New Roman" w:hAnsi="Times New Roman"/>
          <w:i/>
          <w:sz w:val="24"/>
          <w:szCs w:val="24"/>
        </w:rPr>
        <w:t xml:space="preserve">ee </w:t>
      </w:r>
      <w:r w:rsidR="0091429B" w:rsidRPr="001267FD">
        <w:rPr>
          <w:rFonts w:ascii="Times New Roman" w:hAnsi="Times New Roman"/>
          <w:i/>
          <w:sz w:val="24"/>
          <w:szCs w:val="24"/>
        </w:rPr>
        <w:t xml:space="preserve">also </w:t>
      </w:r>
      <w:r w:rsidR="003F1F4E" w:rsidRPr="001267FD">
        <w:rPr>
          <w:rFonts w:ascii="Times New Roman" w:hAnsi="Times New Roman"/>
          <w:i/>
          <w:sz w:val="24"/>
          <w:szCs w:val="24"/>
        </w:rPr>
        <w:t>Hotels.com v. City of Columbus</w:t>
      </w:r>
      <w:r w:rsidR="003F1F4E" w:rsidRPr="001267FD">
        <w:rPr>
          <w:rFonts w:ascii="Times New Roman" w:hAnsi="Times New Roman"/>
          <w:sz w:val="24"/>
          <w:szCs w:val="24"/>
        </w:rPr>
        <w:t>,</w:t>
      </w:r>
      <w:r w:rsidR="004F0BBF" w:rsidRPr="001267FD">
        <w:rPr>
          <w:rFonts w:ascii="Times New Roman" w:hAnsi="Times New Roman"/>
          <w:sz w:val="24"/>
          <w:szCs w:val="24"/>
        </w:rPr>
        <w:t xml:space="preserve"> 2009 Ga. LEXIS 506 (Ga. Oct. 5, 2009) (companion case).</w:t>
      </w:r>
      <w:r w:rsidR="004672E4" w:rsidRPr="001267FD">
        <w:rPr>
          <w:rFonts w:ascii="Times New Roman" w:hAnsi="Times New Roman"/>
          <w:sz w:val="24"/>
          <w:szCs w:val="24"/>
        </w:rPr>
        <w:t xml:space="preserve">  </w:t>
      </w:r>
    </w:p>
    <w:p w:rsidR="00D54ECE" w:rsidRPr="00832805" w:rsidRDefault="00F32047" w:rsidP="0095725C">
      <w:pPr>
        <w:pStyle w:val="ListParagraph"/>
        <w:numPr>
          <w:ilvl w:val="0"/>
          <w:numId w:val="23"/>
        </w:numPr>
        <w:spacing w:after="0" w:line="480" w:lineRule="auto"/>
        <w:rPr>
          <w:rFonts w:ascii="Times New Roman" w:hAnsi="Times New Roman"/>
          <w:sz w:val="24"/>
          <w:szCs w:val="24"/>
        </w:rPr>
      </w:pPr>
      <w:r w:rsidRPr="00832805">
        <w:rPr>
          <w:rFonts w:ascii="Times New Roman" w:hAnsi="Times New Roman"/>
          <w:sz w:val="24"/>
          <w:szCs w:val="24"/>
        </w:rPr>
        <w:t xml:space="preserve">On </w:t>
      </w:r>
      <w:r w:rsidR="00832805" w:rsidRPr="00832805">
        <w:rPr>
          <w:rFonts w:ascii="Times New Roman" w:hAnsi="Times New Roman"/>
          <w:sz w:val="24"/>
          <w:szCs w:val="24"/>
        </w:rPr>
        <w:t>May 16, 2011</w:t>
      </w:r>
      <w:r w:rsidRPr="00832805">
        <w:rPr>
          <w:rFonts w:ascii="Times New Roman" w:hAnsi="Times New Roman"/>
          <w:sz w:val="24"/>
          <w:szCs w:val="24"/>
        </w:rPr>
        <w:t xml:space="preserve">, </w:t>
      </w:r>
      <w:r w:rsidR="00832805" w:rsidRPr="00832805">
        <w:rPr>
          <w:rFonts w:ascii="Times New Roman" w:hAnsi="Times New Roman"/>
          <w:sz w:val="24"/>
          <w:szCs w:val="24"/>
        </w:rPr>
        <w:t xml:space="preserve">the Georgia Supreme Court affirmed a lower court’s decision </w:t>
      </w:r>
      <w:r w:rsidRPr="00832805">
        <w:rPr>
          <w:rFonts w:ascii="Times New Roman" w:hAnsi="Times New Roman"/>
          <w:sz w:val="24"/>
          <w:szCs w:val="24"/>
        </w:rPr>
        <w:t xml:space="preserve">in favor of the City of Atlanta </w:t>
      </w:r>
      <w:r w:rsidR="00832805" w:rsidRPr="00832805">
        <w:rPr>
          <w:rFonts w:ascii="Times New Roman" w:hAnsi="Times New Roman"/>
          <w:sz w:val="24"/>
          <w:szCs w:val="24"/>
        </w:rPr>
        <w:t xml:space="preserve">and </w:t>
      </w:r>
      <w:r w:rsidR="004D5377" w:rsidRPr="00832805">
        <w:rPr>
          <w:rFonts w:ascii="Times New Roman" w:hAnsi="Times New Roman"/>
          <w:sz w:val="24"/>
          <w:szCs w:val="24"/>
        </w:rPr>
        <w:t>enjoin</w:t>
      </w:r>
      <w:r w:rsidR="00832805" w:rsidRPr="00832805">
        <w:rPr>
          <w:rFonts w:ascii="Times New Roman" w:hAnsi="Times New Roman"/>
          <w:sz w:val="24"/>
          <w:szCs w:val="24"/>
        </w:rPr>
        <w:t>ed</w:t>
      </w:r>
      <w:r w:rsidRPr="00832805">
        <w:rPr>
          <w:rFonts w:ascii="Times New Roman" w:hAnsi="Times New Roman"/>
          <w:sz w:val="24"/>
          <w:szCs w:val="24"/>
        </w:rPr>
        <w:t xml:space="preserve"> 17 </w:t>
      </w:r>
      <w:r w:rsidR="001267FD" w:rsidRPr="00832805">
        <w:rPr>
          <w:rFonts w:ascii="Times New Roman" w:hAnsi="Times New Roman"/>
          <w:sz w:val="24"/>
          <w:szCs w:val="24"/>
        </w:rPr>
        <w:t xml:space="preserve">OTCs </w:t>
      </w:r>
      <w:r w:rsidR="004D5377" w:rsidRPr="00832805">
        <w:rPr>
          <w:rFonts w:ascii="Times New Roman" w:hAnsi="Times New Roman"/>
          <w:sz w:val="24"/>
          <w:szCs w:val="24"/>
        </w:rPr>
        <w:t>to collect and remit hotel tax on the total amount disclosed to customers as the room rate</w:t>
      </w:r>
      <w:r w:rsidRPr="00832805">
        <w:rPr>
          <w:rFonts w:ascii="Times New Roman" w:hAnsi="Times New Roman"/>
          <w:sz w:val="24"/>
          <w:szCs w:val="24"/>
        </w:rPr>
        <w:t>.</w:t>
      </w:r>
      <w:r w:rsidR="004D5377" w:rsidRPr="00832805">
        <w:rPr>
          <w:rFonts w:ascii="Times New Roman" w:hAnsi="Times New Roman"/>
          <w:sz w:val="24"/>
          <w:szCs w:val="24"/>
        </w:rPr>
        <w:t xml:space="preserve">  </w:t>
      </w:r>
      <w:r w:rsidR="003A0C39" w:rsidRPr="00832805">
        <w:rPr>
          <w:rFonts w:ascii="Times New Roman" w:hAnsi="Times New Roman"/>
          <w:sz w:val="24"/>
          <w:szCs w:val="24"/>
        </w:rPr>
        <w:t>T</w:t>
      </w:r>
      <w:r w:rsidR="004D5377" w:rsidRPr="00832805">
        <w:rPr>
          <w:rFonts w:ascii="Times New Roman" w:hAnsi="Times New Roman"/>
          <w:sz w:val="24"/>
          <w:szCs w:val="24"/>
        </w:rPr>
        <w:t xml:space="preserve">he court found that, consistent with the decision in </w:t>
      </w:r>
      <w:r w:rsidR="004D5377" w:rsidRPr="00832805">
        <w:rPr>
          <w:rFonts w:ascii="Times New Roman" w:hAnsi="Times New Roman"/>
          <w:i/>
          <w:sz w:val="24"/>
          <w:szCs w:val="24"/>
        </w:rPr>
        <w:t>Expedia, Inc. v. City of Columbus</w:t>
      </w:r>
      <w:r w:rsidR="004D5377" w:rsidRPr="00832805">
        <w:rPr>
          <w:rFonts w:ascii="Times New Roman" w:hAnsi="Times New Roman"/>
          <w:sz w:val="24"/>
          <w:szCs w:val="24"/>
        </w:rPr>
        <w:t xml:space="preserve">, </w:t>
      </w:r>
      <w:r w:rsidR="00E23EB9" w:rsidRPr="00832805">
        <w:rPr>
          <w:rFonts w:ascii="Times New Roman" w:hAnsi="Times New Roman"/>
          <w:sz w:val="24"/>
          <w:szCs w:val="24"/>
        </w:rPr>
        <w:t xml:space="preserve">681 S.E. 2d 122 </w:t>
      </w:r>
      <w:r w:rsidR="004D5377" w:rsidRPr="00832805">
        <w:rPr>
          <w:rFonts w:ascii="Times New Roman" w:hAnsi="Times New Roman"/>
          <w:sz w:val="24"/>
          <w:szCs w:val="24"/>
        </w:rPr>
        <w:t>(2009)</w:t>
      </w:r>
      <w:r w:rsidR="00E23EB9" w:rsidRPr="00832805">
        <w:rPr>
          <w:rFonts w:ascii="Times New Roman" w:hAnsi="Times New Roman"/>
          <w:sz w:val="24"/>
          <w:szCs w:val="24"/>
        </w:rPr>
        <w:t xml:space="preserve"> (see #6 above)</w:t>
      </w:r>
      <w:r w:rsidR="00156636">
        <w:rPr>
          <w:rFonts w:ascii="Times New Roman" w:hAnsi="Times New Roman"/>
          <w:sz w:val="24"/>
          <w:szCs w:val="24"/>
        </w:rPr>
        <w:t>,</w:t>
      </w:r>
      <w:r w:rsidR="004D5377" w:rsidRPr="00832805">
        <w:rPr>
          <w:rFonts w:ascii="Times New Roman" w:hAnsi="Times New Roman"/>
          <w:sz w:val="24"/>
          <w:szCs w:val="24"/>
        </w:rPr>
        <w:t xml:space="preserve"> the OTCs’ </w:t>
      </w:r>
      <w:r w:rsidR="004D5377" w:rsidRPr="00832805">
        <w:rPr>
          <w:rFonts w:ascii="Times New Roman" w:hAnsi="Times New Roman"/>
          <w:sz w:val="24"/>
          <w:szCs w:val="24"/>
        </w:rPr>
        <w:lastRenderedPageBreak/>
        <w:t>contract</w:t>
      </w:r>
      <w:r w:rsidR="002D0E92" w:rsidRPr="00832805">
        <w:rPr>
          <w:rFonts w:ascii="Times New Roman" w:hAnsi="Times New Roman"/>
          <w:sz w:val="24"/>
          <w:szCs w:val="24"/>
        </w:rPr>
        <w:t xml:space="preserve"> term</w:t>
      </w:r>
      <w:r w:rsidR="004D5377" w:rsidRPr="00832805">
        <w:rPr>
          <w:rFonts w:ascii="Times New Roman" w:hAnsi="Times New Roman"/>
          <w:sz w:val="24"/>
          <w:szCs w:val="24"/>
        </w:rPr>
        <w:t xml:space="preserve">s meant </w:t>
      </w:r>
      <w:r w:rsidR="002D0E92" w:rsidRPr="00832805">
        <w:rPr>
          <w:rFonts w:ascii="Times New Roman" w:hAnsi="Times New Roman"/>
          <w:sz w:val="24"/>
          <w:szCs w:val="24"/>
        </w:rPr>
        <w:t xml:space="preserve">in practice that </w:t>
      </w:r>
      <w:r w:rsidR="004D5377" w:rsidRPr="00832805">
        <w:rPr>
          <w:rFonts w:ascii="Times New Roman" w:hAnsi="Times New Roman"/>
          <w:sz w:val="24"/>
          <w:szCs w:val="24"/>
        </w:rPr>
        <w:t>they were third-party tax collectors.</w:t>
      </w:r>
      <w:r w:rsidR="00832805" w:rsidRPr="00832805">
        <w:rPr>
          <w:rFonts w:ascii="Times New Roman" w:hAnsi="Times New Roman"/>
          <w:sz w:val="24"/>
          <w:szCs w:val="24"/>
        </w:rPr>
        <w:t xml:space="preserve"> </w:t>
      </w:r>
      <w:r w:rsidR="00832805">
        <w:rPr>
          <w:rFonts w:ascii="Times New Roman" w:hAnsi="Times New Roman"/>
          <w:sz w:val="24"/>
          <w:szCs w:val="24"/>
        </w:rPr>
        <w:t xml:space="preserve"> </w:t>
      </w:r>
      <w:r w:rsidR="00832805" w:rsidRPr="00832805">
        <w:rPr>
          <w:rFonts w:ascii="Times New Roman" w:hAnsi="Times New Roman"/>
          <w:sz w:val="24"/>
          <w:szCs w:val="24"/>
        </w:rPr>
        <w:t xml:space="preserve">The court </w:t>
      </w:r>
      <w:r w:rsidR="00ED2899">
        <w:rPr>
          <w:rFonts w:ascii="Times New Roman" w:hAnsi="Times New Roman"/>
          <w:sz w:val="24"/>
          <w:szCs w:val="24"/>
        </w:rPr>
        <w:t xml:space="preserve">upheld the trial court’s determination that Atlanta could not bring claims for back taxes under its ordinance, but also found that the OTCs held collected taxes in trust for the benefit of Atlanta.  </w:t>
      </w:r>
      <w:r w:rsidR="00832805" w:rsidRPr="00832805">
        <w:rPr>
          <w:rFonts w:ascii="Times New Roman" w:hAnsi="Times New Roman"/>
          <w:i/>
          <w:sz w:val="24"/>
          <w:szCs w:val="24"/>
        </w:rPr>
        <w:t>See</w:t>
      </w:r>
      <w:r w:rsidR="00D30359" w:rsidRPr="00832805">
        <w:rPr>
          <w:rFonts w:ascii="Times New Roman" w:hAnsi="Times New Roman"/>
          <w:sz w:val="24"/>
          <w:szCs w:val="24"/>
        </w:rPr>
        <w:t xml:space="preserve"> </w:t>
      </w:r>
      <w:r w:rsidR="00D30359" w:rsidRPr="00832805">
        <w:rPr>
          <w:rFonts w:ascii="Times New Roman" w:hAnsi="Times New Roman"/>
          <w:i/>
          <w:sz w:val="24"/>
          <w:szCs w:val="24"/>
        </w:rPr>
        <w:t>City of Atlanta v. Hotels.com</w:t>
      </w:r>
      <w:r w:rsidR="00D30359" w:rsidRPr="00832805">
        <w:rPr>
          <w:rFonts w:ascii="Times New Roman" w:hAnsi="Times New Roman"/>
          <w:sz w:val="24"/>
          <w:szCs w:val="24"/>
        </w:rPr>
        <w:t>, 2011 Ga. LEXIS 386 (May 16, 2</w:t>
      </w:r>
      <w:r w:rsidR="006C297E" w:rsidRPr="00832805">
        <w:rPr>
          <w:rFonts w:ascii="Times New Roman" w:hAnsi="Times New Roman"/>
          <w:sz w:val="24"/>
          <w:szCs w:val="24"/>
        </w:rPr>
        <w:t>011).</w:t>
      </w:r>
      <w:r w:rsidR="0039013A">
        <w:rPr>
          <w:rFonts w:ascii="Times New Roman" w:hAnsi="Times New Roman"/>
          <w:sz w:val="24"/>
          <w:szCs w:val="24"/>
        </w:rPr>
        <w:t xml:space="preserve">  On January 10, 2012, a Georgia </w:t>
      </w:r>
      <w:r w:rsidR="009155FD">
        <w:rPr>
          <w:rFonts w:ascii="Times New Roman" w:hAnsi="Times New Roman"/>
          <w:sz w:val="24"/>
          <w:szCs w:val="24"/>
        </w:rPr>
        <w:t>c</w:t>
      </w:r>
      <w:r w:rsidR="0039013A">
        <w:rPr>
          <w:rFonts w:ascii="Times New Roman" w:hAnsi="Times New Roman"/>
          <w:sz w:val="24"/>
          <w:szCs w:val="24"/>
        </w:rPr>
        <w:t>ourt ruled that Atlanta may proceed with other claims</w:t>
      </w:r>
      <w:r w:rsidR="009155FD" w:rsidRPr="009155FD">
        <w:rPr>
          <w:rFonts w:ascii="Times New Roman" w:hAnsi="Times New Roman"/>
          <w:sz w:val="24"/>
          <w:szCs w:val="24"/>
        </w:rPr>
        <w:t xml:space="preserve"> </w:t>
      </w:r>
      <w:r w:rsidR="009155FD">
        <w:rPr>
          <w:rFonts w:ascii="Times New Roman" w:hAnsi="Times New Roman"/>
          <w:sz w:val="24"/>
          <w:szCs w:val="24"/>
        </w:rPr>
        <w:t>that were not resolved by the state Supreme Court’s decision</w:t>
      </w:r>
      <w:r w:rsidR="0039013A">
        <w:rPr>
          <w:rFonts w:ascii="Times New Roman" w:hAnsi="Times New Roman"/>
          <w:sz w:val="24"/>
          <w:szCs w:val="24"/>
        </w:rPr>
        <w:t>, including a claim of conversion</w:t>
      </w:r>
      <w:r w:rsidR="00AE0681">
        <w:rPr>
          <w:rFonts w:ascii="Times New Roman" w:hAnsi="Times New Roman"/>
          <w:sz w:val="24"/>
          <w:szCs w:val="24"/>
        </w:rPr>
        <w:t xml:space="preserve"> that </w:t>
      </w:r>
      <w:r w:rsidR="009155FD">
        <w:rPr>
          <w:rFonts w:ascii="Times New Roman" w:hAnsi="Times New Roman"/>
          <w:sz w:val="24"/>
          <w:szCs w:val="24"/>
        </w:rPr>
        <w:t xml:space="preserve">asserts </w:t>
      </w:r>
      <w:r w:rsidR="00AE0681">
        <w:rPr>
          <w:rFonts w:ascii="Times New Roman" w:hAnsi="Times New Roman"/>
          <w:sz w:val="24"/>
          <w:szCs w:val="24"/>
        </w:rPr>
        <w:t xml:space="preserve">taxes were collected by the OTCs and not remitted.  </w:t>
      </w:r>
      <w:r w:rsidR="00AE0681" w:rsidRPr="00AE0681">
        <w:rPr>
          <w:rFonts w:ascii="Times New Roman" w:hAnsi="Times New Roman"/>
          <w:i/>
          <w:sz w:val="24"/>
          <w:szCs w:val="24"/>
        </w:rPr>
        <w:t>See City of Atlanta v. Hotels.com</w:t>
      </w:r>
      <w:r w:rsidR="00AE0681">
        <w:rPr>
          <w:rFonts w:ascii="Times New Roman" w:hAnsi="Times New Roman"/>
          <w:sz w:val="24"/>
          <w:szCs w:val="24"/>
        </w:rPr>
        <w:t xml:space="preserve">, Ga. Superior Court, No. 2006CV114732, </w:t>
      </w:r>
      <w:r w:rsidR="00BC00D4">
        <w:rPr>
          <w:rFonts w:ascii="Times New Roman" w:hAnsi="Times New Roman"/>
          <w:sz w:val="24"/>
          <w:szCs w:val="24"/>
        </w:rPr>
        <w:t>January 10, 2012</w:t>
      </w:r>
      <w:r w:rsidR="00AE0681">
        <w:rPr>
          <w:rFonts w:ascii="Times New Roman" w:hAnsi="Times New Roman"/>
          <w:sz w:val="24"/>
          <w:szCs w:val="24"/>
        </w:rPr>
        <w:t>.</w:t>
      </w:r>
      <w:r w:rsidR="00917626" w:rsidRPr="00832805">
        <w:rPr>
          <w:rFonts w:ascii="Times New Roman" w:hAnsi="Times New Roman"/>
          <w:sz w:val="24"/>
          <w:szCs w:val="24"/>
        </w:rPr>
        <w:t xml:space="preserve">  </w:t>
      </w:r>
      <w:r w:rsidR="00D54ECE" w:rsidRPr="00832805">
        <w:rPr>
          <w:rFonts w:ascii="Times New Roman" w:hAnsi="Times New Roman"/>
          <w:sz w:val="24"/>
          <w:szCs w:val="24"/>
        </w:rPr>
        <w:t xml:space="preserve"> </w:t>
      </w:r>
    </w:p>
    <w:p w:rsidR="00174A6E" w:rsidRDefault="00174A6E" w:rsidP="0095725C">
      <w:pPr>
        <w:pStyle w:val="ListParagraph"/>
        <w:numPr>
          <w:ilvl w:val="0"/>
          <w:numId w:val="23"/>
        </w:numPr>
        <w:spacing w:after="0" w:line="480" w:lineRule="auto"/>
        <w:rPr>
          <w:rFonts w:ascii="Times New Roman" w:hAnsi="Times New Roman"/>
          <w:sz w:val="24"/>
          <w:szCs w:val="24"/>
        </w:rPr>
      </w:pPr>
      <w:r w:rsidRPr="00180311">
        <w:rPr>
          <w:rFonts w:ascii="Times New Roman" w:hAnsi="Times New Roman"/>
          <w:sz w:val="24"/>
          <w:szCs w:val="24"/>
        </w:rPr>
        <w:t xml:space="preserve">In </w:t>
      </w:r>
      <w:r w:rsidRPr="00180311">
        <w:rPr>
          <w:rFonts w:ascii="Times New Roman" w:hAnsi="Times New Roman"/>
          <w:i/>
          <w:sz w:val="24"/>
          <w:szCs w:val="24"/>
        </w:rPr>
        <w:t>Village of Rosemont v. Priceline.com Inc.</w:t>
      </w:r>
      <w:r w:rsidRPr="00180311">
        <w:rPr>
          <w:rFonts w:ascii="Times New Roman" w:hAnsi="Times New Roman"/>
          <w:sz w:val="24"/>
          <w:szCs w:val="24"/>
        </w:rPr>
        <w:t xml:space="preserve">, </w:t>
      </w:r>
      <w:r w:rsidR="00A2136F" w:rsidRPr="00180311">
        <w:rPr>
          <w:rFonts w:ascii="Times New Roman" w:hAnsi="Times New Roman"/>
          <w:sz w:val="24"/>
          <w:szCs w:val="24"/>
        </w:rPr>
        <w:t xml:space="preserve">No. 1:09-cv-04438 </w:t>
      </w:r>
      <w:r w:rsidR="00180311" w:rsidRPr="00180311">
        <w:rPr>
          <w:rFonts w:ascii="Times New Roman" w:hAnsi="Times New Roman"/>
          <w:sz w:val="24"/>
          <w:szCs w:val="24"/>
        </w:rPr>
        <w:t>(</w:t>
      </w:r>
      <w:r w:rsidR="00A2136F" w:rsidRPr="00180311">
        <w:rPr>
          <w:rFonts w:ascii="Times New Roman" w:hAnsi="Times New Roman"/>
          <w:sz w:val="24"/>
          <w:szCs w:val="24"/>
        </w:rPr>
        <w:t>E.D.</w:t>
      </w:r>
      <w:r w:rsidR="00180311">
        <w:rPr>
          <w:rFonts w:ascii="Times New Roman" w:hAnsi="Times New Roman"/>
          <w:sz w:val="24"/>
          <w:szCs w:val="24"/>
        </w:rPr>
        <w:t xml:space="preserve"> Ill.,</w:t>
      </w:r>
      <w:r w:rsidR="00A2136F">
        <w:rPr>
          <w:rFonts w:ascii="Times New Roman" w:hAnsi="Times New Roman"/>
          <w:sz w:val="24"/>
          <w:szCs w:val="24"/>
        </w:rPr>
        <w:t xml:space="preserve"> Oct. 14, 2011), </w:t>
      </w:r>
      <w:r w:rsidR="00180311">
        <w:rPr>
          <w:rFonts w:ascii="Times New Roman" w:hAnsi="Times New Roman"/>
          <w:sz w:val="24"/>
          <w:szCs w:val="24"/>
        </w:rPr>
        <w:t>t</w:t>
      </w:r>
      <w:r w:rsidR="002D26A6">
        <w:rPr>
          <w:rFonts w:ascii="Times New Roman" w:hAnsi="Times New Roman"/>
          <w:sz w:val="24"/>
          <w:szCs w:val="24"/>
        </w:rPr>
        <w:t xml:space="preserve">he </w:t>
      </w:r>
      <w:r w:rsidR="00A2136F">
        <w:rPr>
          <w:rFonts w:ascii="Times New Roman" w:hAnsi="Times New Roman"/>
          <w:sz w:val="24"/>
          <w:szCs w:val="24"/>
        </w:rPr>
        <w:t xml:space="preserve">court </w:t>
      </w:r>
      <w:r w:rsidR="00A715D4">
        <w:rPr>
          <w:rFonts w:ascii="Times New Roman" w:hAnsi="Times New Roman"/>
          <w:sz w:val="24"/>
          <w:szCs w:val="24"/>
        </w:rPr>
        <w:t>ruled for the Village and against the OTCs</w:t>
      </w:r>
      <w:r w:rsidR="00180311">
        <w:rPr>
          <w:rFonts w:ascii="Times New Roman" w:hAnsi="Times New Roman"/>
          <w:sz w:val="24"/>
          <w:szCs w:val="24"/>
        </w:rPr>
        <w:t xml:space="preserve"> after hearing cross motions for summary judgment</w:t>
      </w:r>
      <w:r w:rsidR="00A715D4">
        <w:rPr>
          <w:rFonts w:ascii="Times New Roman" w:hAnsi="Times New Roman"/>
          <w:sz w:val="24"/>
          <w:szCs w:val="24"/>
        </w:rPr>
        <w:t xml:space="preserve"> and </w:t>
      </w:r>
      <w:r w:rsidR="00A2136F">
        <w:rPr>
          <w:rFonts w:ascii="Times New Roman" w:hAnsi="Times New Roman"/>
          <w:sz w:val="24"/>
          <w:szCs w:val="24"/>
        </w:rPr>
        <w:t xml:space="preserve">held that the OTCs had an obligation to collect and remit </w:t>
      </w:r>
      <w:r w:rsidR="00180311">
        <w:rPr>
          <w:rFonts w:ascii="Times New Roman" w:hAnsi="Times New Roman"/>
          <w:sz w:val="24"/>
          <w:szCs w:val="24"/>
        </w:rPr>
        <w:t xml:space="preserve">the village’s </w:t>
      </w:r>
      <w:r w:rsidR="00A2136F">
        <w:rPr>
          <w:rFonts w:ascii="Times New Roman" w:hAnsi="Times New Roman"/>
          <w:sz w:val="24"/>
          <w:szCs w:val="24"/>
        </w:rPr>
        <w:t>hotel tax</w:t>
      </w:r>
      <w:r w:rsidR="00A715D4">
        <w:rPr>
          <w:rFonts w:ascii="Times New Roman" w:hAnsi="Times New Roman"/>
          <w:sz w:val="24"/>
          <w:szCs w:val="24"/>
        </w:rPr>
        <w:t>.</w:t>
      </w:r>
      <w:r w:rsidR="00A2136F">
        <w:rPr>
          <w:rFonts w:ascii="Times New Roman" w:hAnsi="Times New Roman"/>
          <w:sz w:val="24"/>
          <w:szCs w:val="24"/>
        </w:rPr>
        <w:t xml:space="preserve"> </w:t>
      </w:r>
      <w:r w:rsidR="00A715D4">
        <w:rPr>
          <w:rFonts w:ascii="Times New Roman" w:hAnsi="Times New Roman"/>
          <w:sz w:val="24"/>
          <w:szCs w:val="24"/>
        </w:rPr>
        <w:t xml:space="preserve"> “Because the customer cannot access his hotel room unless and until he pays the OTC’s entire charge, the OTCs are owners who receive ‘consideration for … rental[s],’ within the meaning of the Ordinance.”</w:t>
      </w:r>
      <w:r w:rsidR="000A00D2">
        <w:rPr>
          <w:rFonts w:ascii="Times New Roman" w:hAnsi="Times New Roman"/>
          <w:sz w:val="24"/>
          <w:szCs w:val="24"/>
        </w:rPr>
        <w:t xml:space="preserve">  In addition, the court held that the proper tax base was the full retail price charged by the OTCs “because the customer cannot occupy the hotel room unless he pays the additional [fees and markup charged by the OTCs].”</w:t>
      </w:r>
      <w:r w:rsidR="00180311">
        <w:rPr>
          <w:rFonts w:ascii="Times New Roman" w:hAnsi="Times New Roman"/>
          <w:sz w:val="24"/>
          <w:szCs w:val="24"/>
        </w:rPr>
        <w:t xml:space="preserve">  The court also rejected all of the federal and state constitutional challenges raised by the OTCs, including claims that the OTCs did not have substantial nexus with the Village under the Commerce Clause, and that the Internet Tax Freedom Act’s prohibition against discriminatory taxes </w:t>
      </w:r>
      <w:r w:rsidR="005F71F5">
        <w:rPr>
          <w:rFonts w:ascii="Times New Roman" w:hAnsi="Times New Roman"/>
          <w:sz w:val="24"/>
          <w:szCs w:val="24"/>
        </w:rPr>
        <w:t xml:space="preserve">would be </w:t>
      </w:r>
      <w:r w:rsidR="00180311">
        <w:rPr>
          <w:rFonts w:ascii="Times New Roman" w:hAnsi="Times New Roman"/>
          <w:sz w:val="24"/>
          <w:szCs w:val="24"/>
        </w:rPr>
        <w:t xml:space="preserve">violated if OTCs following the merchant model had to collect tax while travel agents who were compensated through a commission were not. </w:t>
      </w:r>
      <w:r w:rsidR="000A00D2">
        <w:rPr>
          <w:rFonts w:ascii="Times New Roman" w:hAnsi="Times New Roman"/>
          <w:sz w:val="24"/>
          <w:szCs w:val="24"/>
        </w:rPr>
        <w:t xml:space="preserve">  </w:t>
      </w:r>
      <w:r w:rsidR="00A2136F">
        <w:rPr>
          <w:rFonts w:ascii="Times New Roman" w:hAnsi="Times New Roman"/>
          <w:sz w:val="24"/>
          <w:szCs w:val="24"/>
        </w:rPr>
        <w:t xml:space="preserve">   </w:t>
      </w:r>
    </w:p>
    <w:p w:rsidR="002A388E" w:rsidRDefault="002A388E" w:rsidP="002A388E">
      <w:pPr>
        <w:pStyle w:val="Default"/>
        <w:spacing w:line="480" w:lineRule="auto"/>
        <w:ind w:left="720"/>
      </w:pPr>
    </w:p>
    <w:p w:rsidR="009032D2" w:rsidRDefault="009032D2" w:rsidP="00647BD5">
      <w:pPr>
        <w:pStyle w:val="Default"/>
        <w:spacing w:line="480" w:lineRule="auto"/>
        <w:rPr>
          <w:b/>
        </w:rPr>
      </w:pPr>
    </w:p>
    <w:p w:rsidR="00647BD5" w:rsidRDefault="00AC3507" w:rsidP="00647BD5">
      <w:pPr>
        <w:pStyle w:val="Default"/>
        <w:spacing w:line="480" w:lineRule="auto"/>
        <w:rPr>
          <w:b/>
        </w:rPr>
      </w:pPr>
      <w:r>
        <w:rPr>
          <w:b/>
        </w:rPr>
        <w:lastRenderedPageBreak/>
        <w:t xml:space="preserve">B.  </w:t>
      </w:r>
      <w:r w:rsidR="004F0BBF" w:rsidRPr="004672E4">
        <w:rPr>
          <w:b/>
        </w:rPr>
        <w:t>Decision</w:t>
      </w:r>
      <w:r w:rsidR="003F1F4E" w:rsidRPr="004672E4">
        <w:rPr>
          <w:b/>
        </w:rPr>
        <w:t>s o</w:t>
      </w:r>
      <w:r w:rsidR="004F0BBF" w:rsidRPr="004672E4">
        <w:rPr>
          <w:b/>
        </w:rPr>
        <w:t xml:space="preserve">n the Merits </w:t>
      </w:r>
      <w:r w:rsidR="003F1F4E" w:rsidRPr="004672E4">
        <w:rPr>
          <w:b/>
        </w:rPr>
        <w:t>i</w:t>
      </w:r>
      <w:r w:rsidR="004F0BBF" w:rsidRPr="004672E4">
        <w:rPr>
          <w:b/>
        </w:rPr>
        <w:t xml:space="preserve">n </w:t>
      </w:r>
      <w:r w:rsidR="003F1F4E" w:rsidRPr="004672E4">
        <w:rPr>
          <w:b/>
        </w:rPr>
        <w:t>t</w:t>
      </w:r>
      <w:r w:rsidR="004F0BBF" w:rsidRPr="004672E4">
        <w:rPr>
          <w:b/>
        </w:rPr>
        <w:t xml:space="preserve">he </w:t>
      </w:r>
      <w:r w:rsidR="003F1F4E" w:rsidRPr="004672E4">
        <w:rPr>
          <w:b/>
        </w:rPr>
        <w:t>OTCs</w:t>
      </w:r>
      <w:r w:rsidR="004F0BBF" w:rsidRPr="004672E4">
        <w:rPr>
          <w:b/>
        </w:rPr>
        <w:t>' Favor</w:t>
      </w:r>
    </w:p>
    <w:p w:rsidR="00020234" w:rsidRPr="004F0BBF" w:rsidRDefault="00020234" w:rsidP="002B712F">
      <w:pPr>
        <w:pStyle w:val="CM36"/>
        <w:numPr>
          <w:ilvl w:val="0"/>
          <w:numId w:val="25"/>
        </w:numPr>
        <w:spacing w:line="480" w:lineRule="auto"/>
        <w:rPr>
          <w:color w:val="000000"/>
        </w:rPr>
      </w:pPr>
      <w:r>
        <w:rPr>
          <w:color w:val="000000"/>
        </w:rPr>
        <w:t>O</w:t>
      </w:r>
      <w:r w:rsidRPr="004F0BBF">
        <w:rPr>
          <w:color w:val="000000"/>
        </w:rPr>
        <w:t xml:space="preserve">n February </w:t>
      </w:r>
      <w:r w:rsidR="005D48F4">
        <w:rPr>
          <w:color w:val="000000"/>
        </w:rPr>
        <w:t>2</w:t>
      </w:r>
      <w:r w:rsidRPr="004F0BBF">
        <w:rPr>
          <w:color w:val="000000"/>
        </w:rPr>
        <w:t>,</w:t>
      </w:r>
      <w:r>
        <w:rPr>
          <w:color w:val="000000"/>
        </w:rPr>
        <w:t xml:space="preserve"> </w:t>
      </w:r>
      <w:r w:rsidRPr="004F0BBF">
        <w:rPr>
          <w:color w:val="000000"/>
        </w:rPr>
        <w:t xml:space="preserve">2010, the Superior Court of California overturned the decision of </w:t>
      </w:r>
      <w:r>
        <w:rPr>
          <w:color w:val="000000"/>
        </w:rPr>
        <w:t>A</w:t>
      </w:r>
      <w:r w:rsidRPr="004F0BBF">
        <w:rPr>
          <w:color w:val="000000"/>
        </w:rPr>
        <w:t xml:space="preserve">naheim's Hearing Officer that the OTC's were liable </w:t>
      </w:r>
      <w:r w:rsidR="00E4022A">
        <w:rPr>
          <w:color w:val="000000"/>
        </w:rPr>
        <w:t xml:space="preserve">under the Anaheim ordinance </w:t>
      </w:r>
      <w:r w:rsidRPr="004F0BBF">
        <w:rPr>
          <w:color w:val="000000"/>
        </w:rPr>
        <w:t xml:space="preserve">for hotel taxes. </w:t>
      </w:r>
      <w:r w:rsidR="00302E8C">
        <w:rPr>
          <w:color w:val="000000"/>
        </w:rPr>
        <w:t xml:space="preserve"> </w:t>
      </w:r>
      <w:r w:rsidRPr="004F0BBF">
        <w:rPr>
          <w:color w:val="000000"/>
        </w:rPr>
        <w:t xml:space="preserve">In its reversal, the Superior Court found that, under the </w:t>
      </w:r>
      <w:r>
        <w:rPr>
          <w:color w:val="000000"/>
        </w:rPr>
        <w:t>controlling authority</w:t>
      </w:r>
      <w:r w:rsidRPr="004F0BBF">
        <w:rPr>
          <w:color w:val="000000"/>
        </w:rPr>
        <w:t>, "rent" is not defined to mean the amounts paid by the guests, but is defined to mean the amounts charged by hotel operators</w:t>
      </w:r>
      <w:r>
        <w:rPr>
          <w:color w:val="000000"/>
        </w:rPr>
        <w:t xml:space="preserve">, and determined that the term </w:t>
      </w:r>
      <w:r w:rsidRPr="004F0BBF">
        <w:rPr>
          <w:color w:val="000000"/>
        </w:rPr>
        <w:t>"operator" mean</w:t>
      </w:r>
      <w:r>
        <w:rPr>
          <w:color w:val="000000"/>
        </w:rPr>
        <w:t>s</w:t>
      </w:r>
      <w:r w:rsidRPr="004F0BBF">
        <w:rPr>
          <w:color w:val="000000"/>
        </w:rPr>
        <w:t xml:space="preserve"> a proprietor of a hotel.</w:t>
      </w:r>
      <w:r>
        <w:rPr>
          <w:color w:val="000000"/>
        </w:rPr>
        <w:t xml:space="preserve">  </w:t>
      </w:r>
      <w:r w:rsidR="007E2D5D">
        <w:rPr>
          <w:color w:val="000000"/>
        </w:rPr>
        <w:t>T</w:t>
      </w:r>
      <w:r w:rsidRPr="004F0BBF">
        <w:rPr>
          <w:color w:val="000000"/>
        </w:rPr>
        <w:t>he court concluded</w:t>
      </w:r>
      <w:r w:rsidR="007E2D5D">
        <w:rPr>
          <w:color w:val="000000"/>
        </w:rPr>
        <w:t>, therefore,</w:t>
      </w:r>
      <w:r w:rsidRPr="004F0BBF">
        <w:rPr>
          <w:color w:val="000000"/>
        </w:rPr>
        <w:t xml:space="preserve"> that the taxable rent is the amount charged by the hotel to the </w:t>
      </w:r>
      <w:r w:rsidRPr="00145E7C">
        <w:rPr>
          <w:iCs/>
          <w:color w:val="000000"/>
        </w:rPr>
        <w:t xml:space="preserve">OTC </w:t>
      </w:r>
      <w:r w:rsidRPr="004F0BBF">
        <w:rPr>
          <w:color w:val="000000"/>
        </w:rPr>
        <w:t xml:space="preserve">for the room (i.e., the </w:t>
      </w:r>
      <w:r w:rsidR="007E2D5D">
        <w:rPr>
          <w:color w:val="000000"/>
        </w:rPr>
        <w:t>wholesale/discount</w:t>
      </w:r>
      <w:r w:rsidRPr="004F0BBF">
        <w:rPr>
          <w:color w:val="000000"/>
        </w:rPr>
        <w:t xml:space="preserve"> rate).</w:t>
      </w:r>
      <w:r w:rsidR="00FE3568">
        <w:rPr>
          <w:color w:val="000000"/>
        </w:rPr>
        <w:t xml:space="preserve">  </w:t>
      </w:r>
      <w:r w:rsidR="00FE3568" w:rsidRPr="00FE3568">
        <w:rPr>
          <w:i/>
          <w:color w:val="000000"/>
        </w:rPr>
        <w:t>See Priceline.com Inc. v. Anaheim</w:t>
      </w:r>
      <w:r w:rsidR="00FE3568">
        <w:rPr>
          <w:color w:val="000000"/>
        </w:rPr>
        <w:t>, Cal. Super. Ct., No. JCCP 4472, Feb. 1, 2010.  An appeal by the city is pending before the court of appeals.</w:t>
      </w:r>
      <w:r w:rsidR="00302E8C">
        <w:rPr>
          <w:color w:val="000000"/>
        </w:rPr>
        <w:t xml:space="preserve">   </w:t>
      </w:r>
      <w:r w:rsidRPr="004F0BBF">
        <w:rPr>
          <w:color w:val="000000"/>
        </w:rPr>
        <w:t xml:space="preserve"> </w:t>
      </w:r>
    </w:p>
    <w:p w:rsidR="009962F8" w:rsidRPr="00145E7C" w:rsidRDefault="00793227" w:rsidP="002B712F">
      <w:pPr>
        <w:pStyle w:val="CM36"/>
        <w:numPr>
          <w:ilvl w:val="0"/>
          <w:numId w:val="25"/>
        </w:numPr>
        <w:spacing w:line="480" w:lineRule="auto"/>
        <w:rPr>
          <w:color w:val="000000"/>
        </w:rPr>
      </w:pPr>
      <w:r w:rsidRPr="004F0BBF">
        <w:rPr>
          <w:color w:val="000000"/>
        </w:rPr>
        <w:t xml:space="preserve">On </w:t>
      </w:r>
      <w:r w:rsidR="00147448">
        <w:rPr>
          <w:color w:val="000000"/>
        </w:rPr>
        <w:t xml:space="preserve">February </w:t>
      </w:r>
      <w:r w:rsidR="00DB3775">
        <w:rPr>
          <w:color w:val="000000"/>
        </w:rPr>
        <w:t>2</w:t>
      </w:r>
      <w:r w:rsidR="00147448">
        <w:rPr>
          <w:color w:val="000000"/>
        </w:rPr>
        <w:t>, 2012, a</w:t>
      </w:r>
      <w:r w:rsidR="006E4D07">
        <w:rPr>
          <w:color w:val="000000"/>
        </w:rPr>
        <w:t xml:space="preserve"> state</w:t>
      </w:r>
      <w:r w:rsidR="00147448">
        <w:t xml:space="preserve"> </w:t>
      </w:r>
      <w:r w:rsidR="006E4D07">
        <w:t xml:space="preserve">appellate </w:t>
      </w:r>
      <w:r w:rsidR="00147448">
        <w:t xml:space="preserve">court </w:t>
      </w:r>
      <w:r w:rsidR="00EB1CE7">
        <w:t xml:space="preserve">affirmed the </w:t>
      </w:r>
      <w:r w:rsidR="00EB1CE7">
        <w:rPr>
          <w:color w:val="000000"/>
        </w:rPr>
        <w:t>decision of t</w:t>
      </w:r>
      <w:r w:rsidRPr="004F0BBF">
        <w:rPr>
          <w:color w:val="000000"/>
        </w:rPr>
        <w:t xml:space="preserve">he Philadelphia Tax Review Board </w:t>
      </w:r>
      <w:r w:rsidR="006E4D07">
        <w:rPr>
          <w:color w:val="000000"/>
        </w:rPr>
        <w:t xml:space="preserve">that </w:t>
      </w:r>
      <w:r w:rsidR="00DE0465" w:rsidRPr="004F0BBF">
        <w:rPr>
          <w:color w:val="000000"/>
        </w:rPr>
        <w:t xml:space="preserve">Expedia does not fall within the definition of "operator" under the Philadelphia </w:t>
      </w:r>
      <w:r w:rsidR="006E4D07">
        <w:rPr>
          <w:color w:val="000000"/>
        </w:rPr>
        <w:t>Hotel Room Rental Tax</w:t>
      </w:r>
      <w:r w:rsidR="00DE0465">
        <w:rPr>
          <w:color w:val="000000"/>
        </w:rPr>
        <w:t xml:space="preserve"> </w:t>
      </w:r>
      <w:r w:rsidR="006E4D07">
        <w:rPr>
          <w:color w:val="000000"/>
        </w:rPr>
        <w:t xml:space="preserve">Code </w:t>
      </w:r>
      <w:r w:rsidR="00DE0465">
        <w:rPr>
          <w:color w:val="000000"/>
        </w:rPr>
        <w:t>because it does not acquire the “right to rent or lease” hotel accommodations</w:t>
      </w:r>
      <w:r w:rsidR="00DE0465" w:rsidRPr="004F0BBF">
        <w:rPr>
          <w:color w:val="000000"/>
        </w:rPr>
        <w:t xml:space="preserve">.  </w:t>
      </w:r>
      <w:r w:rsidR="00DE0465">
        <w:rPr>
          <w:color w:val="000000"/>
        </w:rPr>
        <w:t xml:space="preserve"> </w:t>
      </w:r>
      <w:r w:rsidRPr="007E2D5D">
        <w:rPr>
          <w:i/>
          <w:color w:val="000000"/>
        </w:rPr>
        <w:t>See Philadelphia</w:t>
      </w:r>
      <w:r w:rsidR="00DE0465">
        <w:rPr>
          <w:i/>
          <w:color w:val="000000"/>
        </w:rPr>
        <w:t xml:space="preserve"> v. </w:t>
      </w:r>
      <w:r w:rsidR="00147448">
        <w:rPr>
          <w:i/>
          <w:color w:val="000000"/>
        </w:rPr>
        <w:t>P</w:t>
      </w:r>
      <w:r w:rsidR="00DE0465">
        <w:rPr>
          <w:i/>
          <w:color w:val="000000"/>
        </w:rPr>
        <w:t>hiladelphia Tax Review</w:t>
      </w:r>
      <w:r w:rsidR="00C11340">
        <w:rPr>
          <w:i/>
          <w:color w:val="000000"/>
        </w:rPr>
        <w:t xml:space="preserve"> </w:t>
      </w:r>
      <w:r w:rsidR="00DE0465">
        <w:rPr>
          <w:i/>
          <w:color w:val="000000"/>
        </w:rPr>
        <w:t>Board</w:t>
      </w:r>
      <w:r w:rsidR="007E2D5D">
        <w:rPr>
          <w:color w:val="000000"/>
        </w:rPr>
        <w:t>,</w:t>
      </w:r>
      <w:r w:rsidRPr="004F0BBF">
        <w:rPr>
          <w:color w:val="000000"/>
        </w:rPr>
        <w:t xml:space="preserve"> </w:t>
      </w:r>
      <w:r w:rsidR="00147448">
        <w:rPr>
          <w:color w:val="000000"/>
        </w:rPr>
        <w:t>Pennsylvania Commonwealth Court, No. 216 C.D. 2011, February 2, 2012</w:t>
      </w:r>
      <w:r w:rsidRPr="004F0BBF">
        <w:rPr>
          <w:color w:val="000000"/>
        </w:rPr>
        <w:t xml:space="preserve">.  </w:t>
      </w:r>
    </w:p>
    <w:p w:rsidR="009962F8" w:rsidRPr="0049489C" w:rsidRDefault="00A92191" w:rsidP="002B712F">
      <w:pPr>
        <w:pStyle w:val="Default"/>
        <w:numPr>
          <w:ilvl w:val="0"/>
          <w:numId w:val="25"/>
        </w:numPr>
        <w:spacing w:line="480" w:lineRule="auto"/>
      </w:pPr>
      <w:r>
        <w:t>In</w:t>
      </w:r>
      <w:r w:rsidR="00DE71B1" w:rsidRPr="00DE71B1">
        <w:rPr>
          <w:i/>
        </w:rPr>
        <w:t xml:space="preserve"> </w:t>
      </w:r>
      <w:r w:rsidR="009962F8" w:rsidRPr="00C45E76">
        <w:rPr>
          <w:i/>
        </w:rPr>
        <w:t>City of Houston v. Hotels.com LP</w:t>
      </w:r>
      <w:r w:rsidR="009962F8" w:rsidRPr="004F0BBF">
        <w:t xml:space="preserve">, </w:t>
      </w:r>
      <w:r>
        <w:t>No. 14-10-00349-CV, ___ S.W.3d.___ (Tex.App.—Houston [14</w:t>
      </w:r>
      <w:r w:rsidRPr="00A92191">
        <w:rPr>
          <w:vertAlign w:val="superscript"/>
        </w:rPr>
        <w:t>th</w:t>
      </w:r>
      <w:r>
        <w:t xml:space="preserve"> Dist.] </w:t>
      </w:r>
      <w:r w:rsidR="008033B6">
        <w:rPr>
          <w:iCs/>
        </w:rPr>
        <w:t>2011</w:t>
      </w:r>
      <w:r>
        <w:rPr>
          <w:iCs/>
        </w:rPr>
        <w:t xml:space="preserve">, pet. </w:t>
      </w:r>
      <w:r w:rsidR="008033B6">
        <w:rPr>
          <w:iCs/>
        </w:rPr>
        <w:t>filed</w:t>
      </w:r>
      <w:r>
        <w:rPr>
          <w:iCs/>
        </w:rPr>
        <w:t xml:space="preserve">), the Texas Court of Appeals </w:t>
      </w:r>
      <w:r w:rsidR="005B0257">
        <w:rPr>
          <w:iCs/>
        </w:rPr>
        <w:t xml:space="preserve">ruled for the OTCs and </w:t>
      </w:r>
      <w:r>
        <w:rPr>
          <w:iCs/>
        </w:rPr>
        <w:t xml:space="preserve">held that the language of the city’s ordinance imposed tax on the </w:t>
      </w:r>
      <w:r w:rsidR="005B0257">
        <w:rPr>
          <w:iCs/>
        </w:rPr>
        <w:t>“</w:t>
      </w:r>
      <w:r>
        <w:rPr>
          <w:iCs/>
        </w:rPr>
        <w:t>cost of occupancy</w:t>
      </w:r>
      <w:r w:rsidR="001364CC">
        <w:rPr>
          <w:iCs/>
        </w:rPr>
        <w:t>,</w:t>
      </w:r>
      <w:r w:rsidR="005B0257">
        <w:rPr>
          <w:iCs/>
        </w:rPr>
        <w:t>”</w:t>
      </w:r>
      <w:r w:rsidR="001364CC">
        <w:rPr>
          <w:iCs/>
        </w:rPr>
        <w:t xml:space="preserve"> which required that three conditions be met and which could reasonably be interpreted to mean tax was due “on the amount paid to the hotel on the occupant’s behalf for the right to use a room ordinarily used for sleeping.” The court concluded that only the amount paid by the OTC to the hotel, and not any amount paid by a consumer to the OTC, met the three conditions</w:t>
      </w:r>
      <w:r w:rsidR="005B0257">
        <w:rPr>
          <w:iCs/>
        </w:rPr>
        <w:t xml:space="preserve"> outlined in the ordinance</w:t>
      </w:r>
      <w:r w:rsidR="001364CC">
        <w:rPr>
          <w:iCs/>
        </w:rPr>
        <w:t xml:space="preserve">.  </w:t>
      </w:r>
    </w:p>
    <w:p w:rsidR="00C11340" w:rsidRPr="00C11340" w:rsidRDefault="0049489C" w:rsidP="002B712F">
      <w:pPr>
        <w:pStyle w:val="Default"/>
        <w:numPr>
          <w:ilvl w:val="0"/>
          <w:numId w:val="25"/>
        </w:numPr>
        <w:spacing w:line="480" w:lineRule="auto"/>
      </w:pPr>
      <w:r>
        <w:rPr>
          <w:iCs/>
        </w:rPr>
        <w:lastRenderedPageBreak/>
        <w:t xml:space="preserve">On March 1, 2010, a federal district court judge issued a memorandum opinion and order in favor of the OTCs in </w:t>
      </w:r>
      <w:r w:rsidRPr="00C93F63">
        <w:rPr>
          <w:i/>
          <w:iCs/>
        </w:rPr>
        <w:t>City of Gallup, New Mexico v. Hotels.com, L.P., et al</w:t>
      </w:r>
      <w:r w:rsidRPr="00EC64CF">
        <w:rPr>
          <w:i/>
          <w:iCs/>
        </w:rPr>
        <w:t xml:space="preserve">. </w:t>
      </w:r>
      <w:r w:rsidR="00EC64CF" w:rsidRPr="00EC64CF">
        <w:rPr>
          <w:color w:val="333333"/>
        </w:rPr>
        <w:t>2009 U.S. Dist. LEXIS 126818</w:t>
      </w:r>
      <w:r w:rsidR="00EC64CF" w:rsidRPr="00EC64CF">
        <w:rPr>
          <w:iCs/>
        </w:rPr>
        <w:t xml:space="preserve"> </w:t>
      </w:r>
      <w:r>
        <w:rPr>
          <w:iCs/>
        </w:rPr>
        <w:t>(Case No. CV 07-644</w:t>
      </w:r>
      <w:r w:rsidR="0023499F">
        <w:rPr>
          <w:iCs/>
        </w:rPr>
        <w:t xml:space="preserve"> </w:t>
      </w:r>
      <w:r>
        <w:rPr>
          <w:iCs/>
        </w:rPr>
        <w:t>J</w:t>
      </w:r>
      <w:r w:rsidR="0023499F">
        <w:rPr>
          <w:iCs/>
        </w:rPr>
        <w:t>E</w:t>
      </w:r>
      <w:r>
        <w:rPr>
          <w:iCs/>
        </w:rPr>
        <w:t xml:space="preserve">C/RLP).  The court had previously held that the OTCs were not liable for any additional occupancy taxes because the tax is imposed on “vendors” and the court concluded that </w:t>
      </w:r>
      <w:r w:rsidR="00C93F63">
        <w:rPr>
          <w:iCs/>
        </w:rPr>
        <w:t xml:space="preserve">the term </w:t>
      </w:r>
      <w:r>
        <w:rPr>
          <w:iCs/>
        </w:rPr>
        <w:t xml:space="preserve">vendors </w:t>
      </w:r>
      <w:r w:rsidR="00C93F63">
        <w:rPr>
          <w:iCs/>
        </w:rPr>
        <w:t>m</w:t>
      </w:r>
      <w:r>
        <w:rPr>
          <w:iCs/>
        </w:rPr>
        <w:t xml:space="preserve">eant hotel operators who furnish lodging.  </w:t>
      </w:r>
      <w:r w:rsidRPr="00F30BF0">
        <w:rPr>
          <w:i/>
          <w:iCs/>
        </w:rPr>
        <w:t>See</w:t>
      </w:r>
      <w:r w:rsidR="00C93F63">
        <w:rPr>
          <w:iCs/>
        </w:rPr>
        <w:t xml:space="preserve"> Case No. 06-0549 (Doc. 54). </w:t>
      </w:r>
    </w:p>
    <w:p w:rsidR="00DD6E9A" w:rsidRDefault="00DD6E9A" w:rsidP="00DD6E9A">
      <w:pPr>
        <w:pStyle w:val="Default"/>
        <w:numPr>
          <w:ilvl w:val="0"/>
          <w:numId w:val="25"/>
        </w:numPr>
        <w:spacing w:line="480" w:lineRule="auto"/>
      </w:pPr>
      <w:r>
        <w:t>On January 20, 2011, a Court denied motion</w:t>
      </w:r>
      <w:r w:rsidR="003772D5">
        <w:t>s</w:t>
      </w:r>
      <w:r>
        <w:t xml:space="preserve"> for summary judgment </w:t>
      </w:r>
      <w:r w:rsidR="003772D5">
        <w:t xml:space="preserve">filed by Orange County Florida and the County Comptroller </w:t>
      </w:r>
      <w:r>
        <w:t>on the basis that the</w:t>
      </w:r>
      <w:r w:rsidR="003772D5">
        <w:t>y</w:t>
      </w:r>
      <w:r>
        <w:t xml:space="preserve"> failed to provide evidence that OTCs were in the business of renting accommodations and that the controlling authorities did not plainly indicate an intention that the fees charged by the OTCs were subject to tax.  </w:t>
      </w:r>
      <w:r w:rsidR="003772D5" w:rsidRPr="003772D5">
        <w:rPr>
          <w:i/>
        </w:rPr>
        <w:t xml:space="preserve">See </w:t>
      </w:r>
      <w:r w:rsidRPr="00DD6E9A">
        <w:rPr>
          <w:i/>
        </w:rPr>
        <w:t>Orange County v. Expedia Inc.</w:t>
      </w:r>
      <w:r>
        <w:t xml:space="preserve">, </w:t>
      </w:r>
      <w:r w:rsidR="000B6E0F">
        <w:t>Case No.: 48-2006-CA-2104-</w:t>
      </w:r>
      <w:r w:rsidR="003772D5">
        <w:t>O</w:t>
      </w:r>
      <w:r w:rsidR="000B6E0F">
        <w:t>, In the District Court in the Ninth Judicial Circuit, in and for Orange County, Florida</w:t>
      </w:r>
      <w:r>
        <w:t>.</w:t>
      </w:r>
      <w:r w:rsidR="00E0276D">
        <w:t xml:space="preserve">  </w:t>
      </w:r>
      <w:r w:rsidR="0069701D">
        <w:t>A</w:t>
      </w:r>
      <w:r w:rsidR="00E0276D">
        <w:t xml:space="preserve"> confidential settlement</w:t>
      </w:r>
      <w:r w:rsidR="0069701D">
        <w:t>, suspected to be between $5-10 million,</w:t>
      </w:r>
      <w:r w:rsidR="00E0276D">
        <w:t xml:space="preserve"> was reached between Orange County and Expedia</w:t>
      </w:r>
      <w:r w:rsidR="0069701D">
        <w:t xml:space="preserve"> and approved by the Orange County commissioners by a vote of 5-2</w:t>
      </w:r>
      <w:r w:rsidR="005338C4">
        <w:t xml:space="preserve">.  </w:t>
      </w:r>
      <w:r w:rsidR="005338C4" w:rsidRPr="00D60EFE">
        <w:rPr>
          <w:i/>
        </w:rPr>
        <w:t xml:space="preserve">See </w:t>
      </w:r>
      <w:r w:rsidR="005338C4">
        <w:t xml:space="preserve">“Orange </w:t>
      </w:r>
      <w:r w:rsidR="0069701D">
        <w:t>commissioners sign off on secret Expedia deal</w:t>
      </w:r>
      <w:r w:rsidR="005338C4">
        <w:t xml:space="preserve">,” by David Damron, </w:t>
      </w:r>
      <w:r w:rsidR="005338C4" w:rsidRPr="005338C4">
        <w:rPr>
          <w:i/>
        </w:rPr>
        <w:t>Orlando Sentinel</w:t>
      </w:r>
      <w:r w:rsidR="005338C4">
        <w:t xml:space="preserve">, </w:t>
      </w:r>
      <w:r w:rsidR="0069701D">
        <w:t>October 18</w:t>
      </w:r>
      <w:r w:rsidR="005338C4">
        <w:t xml:space="preserve">, 2011, </w:t>
      </w:r>
      <w:hyperlink r:id="rId8" w:history="1">
        <w:r w:rsidR="00D60EFE" w:rsidRPr="00BC0B9C">
          <w:rPr>
            <w:rStyle w:val="Hyperlink"/>
          </w:rPr>
          <w:t>www.orlandosentinel.com</w:t>
        </w:r>
      </w:hyperlink>
      <w:r w:rsidR="005338C4">
        <w:t>.</w:t>
      </w:r>
      <w:r w:rsidR="00D60EFE">
        <w:t xml:space="preserve">  Still pending are claims by Orange County against </w:t>
      </w:r>
      <w:r w:rsidR="0069701D">
        <w:t>Orbitz</w:t>
      </w:r>
      <w:r w:rsidR="00D60EFE">
        <w:t xml:space="preserve">. </w:t>
      </w:r>
    </w:p>
    <w:p w:rsidR="00A349F2" w:rsidRDefault="00A349F2" w:rsidP="00A349F2">
      <w:pPr>
        <w:pStyle w:val="Default"/>
        <w:numPr>
          <w:ilvl w:val="0"/>
          <w:numId w:val="25"/>
        </w:numPr>
        <w:spacing w:line="480" w:lineRule="auto"/>
      </w:pPr>
      <w:r w:rsidRPr="002473E6">
        <w:rPr>
          <w:i/>
        </w:rPr>
        <w:t>City of Birmingham, et al., v. Orbitz, Inc., et al.</w:t>
      </w:r>
      <w:r>
        <w:t>, No. CV-09-3607 JSV (Circuit Court of Jefferson County, Alabama, March 24, 2011) (</w:t>
      </w:r>
      <w:r w:rsidR="00A46834">
        <w:t xml:space="preserve">granting summary judgment to the OTCs and </w:t>
      </w:r>
      <w:r>
        <w:t>holding that</w:t>
      </w:r>
      <w:r w:rsidR="00B1749C">
        <w:t xml:space="preserve"> the plain language of the controlling authorities did not allow for taxation of the fees charged by OTCs to their customers and that the OTCs were not engaged in the business of renting or furnishing rooms in hotels</w:t>
      </w:r>
      <w:r>
        <w:t>).</w:t>
      </w:r>
    </w:p>
    <w:p w:rsidR="006C297E" w:rsidRDefault="006C297E" w:rsidP="00A349F2">
      <w:pPr>
        <w:pStyle w:val="Default"/>
        <w:numPr>
          <w:ilvl w:val="0"/>
          <w:numId w:val="25"/>
        </w:numPr>
        <w:spacing w:line="480" w:lineRule="auto"/>
      </w:pPr>
      <w:r w:rsidRPr="006C297E">
        <w:t>In</w:t>
      </w:r>
      <w:r>
        <w:rPr>
          <w:i/>
        </w:rPr>
        <w:t xml:space="preserve"> City of Bowling Green, </w:t>
      </w:r>
      <w:r w:rsidRPr="006C297E">
        <w:rPr>
          <w:i/>
        </w:rPr>
        <w:t>Kentucky v. Hotels.com</w:t>
      </w:r>
      <w:r>
        <w:t xml:space="preserve">, 2011 Ky. App. LEXIS 80 (April 29, </w:t>
      </w:r>
      <w:r>
        <w:lastRenderedPageBreak/>
        <w:t xml:space="preserve">2011), the state court of appeals ruled that the trial court correctly dismissed the city’s claim that the OTCs should </w:t>
      </w:r>
      <w:r w:rsidR="00917371">
        <w:t>pay the transient room taxes they charge the consumer because the applicable statute only imposes such a requirement on bricks and mortar establishments and the Kentucky General Assembly would have to change the law for OTCs to be liable.</w:t>
      </w:r>
      <w:r>
        <w:t xml:space="preserve"> </w:t>
      </w:r>
    </w:p>
    <w:p w:rsidR="004D2221" w:rsidRDefault="008E16D7" w:rsidP="00A349F2">
      <w:pPr>
        <w:pStyle w:val="Default"/>
        <w:numPr>
          <w:ilvl w:val="0"/>
          <w:numId w:val="25"/>
        </w:numPr>
        <w:spacing w:line="480" w:lineRule="auto"/>
      </w:pPr>
      <w:r>
        <w:t>On September 6, 2011, a</w:t>
      </w:r>
      <w:r w:rsidR="006A49D4">
        <w:t xml:space="preserve"> Californi</w:t>
      </w:r>
      <w:r>
        <w:t xml:space="preserve">a Superior Court judge vacated </w:t>
      </w:r>
      <w:r w:rsidR="00D758F6">
        <w:t>the May 2010</w:t>
      </w:r>
      <w:r w:rsidR="006A49D4">
        <w:t xml:space="preserve"> decision of a San Diego </w:t>
      </w:r>
      <w:r w:rsidR="00DB4C34">
        <w:t>a</w:t>
      </w:r>
      <w:r w:rsidR="00D758F6">
        <w:t xml:space="preserve">dministrative </w:t>
      </w:r>
      <w:r w:rsidR="00DB4C34">
        <w:t>hearing o</w:t>
      </w:r>
      <w:r w:rsidR="006A49D4">
        <w:t xml:space="preserve">fficer’s </w:t>
      </w:r>
      <w:r w:rsidR="00D758F6">
        <w:t>ruling</w:t>
      </w:r>
      <w:r w:rsidR="006A49D4">
        <w:t xml:space="preserve"> in favor of the city</w:t>
      </w:r>
      <w:r>
        <w:t>,</w:t>
      </w:r>
      <w:r w:rsidR="006A49D4">
        <w:t xml:space="preserve"> and held that OTCs were not “operators” of hotels as that term was used in the relevant city ordinances</w:t>
      </w:r>
      <w:r>
        <w:t>.  T</w:t>
      </w:r>
      <w:r w:rsidR="006A49D4">
        <w:t xml:space="preserve">herefore, </w:t>
      </w:r>
      <w:r>
        <w:t xml:space="preserve">OTCs </w:t>
      </w:r>
      <w:r w:rsidR="00D758F6">
        <w:t>were</w:t>
      </w:r>
      <w:r w:rsidR="00EA044C">
        <w:t xml:space="preserve"> only required to </w:t>
      </w:r>
      <w:r w:rsidR="006A49D4">
        <w:t>collect and remit hotel occupancy taxes</w:t>
      </w:r>
      <w:r w:rsidR="00EA044C">
        <w:t xml:space="preserve"> on the discounted room rate</w:t>
      </w:r>
      <w:r>
        <w:t>s</w:t>
      </w:r>
      <w:r w:rsidR="00EA044C">
        <w:t xml:space="preserve"> </w:t>
      </w:r>
      <w:r>
        <w:t>they pa</w:t>
      </w:r>
      <w:r w:rsidR="00EA044C">
        <w:t xml:space="preserve">id </w:t>
      </w:r>
      <w:r>
        <w:t>to</w:t>
      </w:r>
      <w:r w:rsidR="00EA044C">
        <w:t xml:space="preserve"> the hotels, not the retail rate</w:t>
      </w:r>
      <w:r>
        <w:t>s</w:t>
      </w:r>
      <w:r w:rsidR="00EA044C">
        <w:t xml:space="preserve"> charged </w:t>
      </w:r>
      <w:r>
        <w:t xml:space="preserve">to </w:t>
      </w:r>
      <w:r w:rsidR="00EA044C">
        <w:t>their customers</w:t>
      </w:r>
      <w:r w:rsidR="006A49D4">
        <w:t xml:space="preserve">.  An appeal of the decision is expected.  </w:t>
      </w:r>
      <w:r w:rsidR="006A49D4" w:rsidRPr="006A49D4">
        <w:rPr>
          <w:i/>
        </w:rPr>
        <w:t>See Transient Occupancy Tax Cases</w:t>
      </w:r>
      <w:r w:rsidR="006A49D4">
        <w:t>, Superior Court of the State of California, County of Los Angeles, Case No. JCCP 4472, Notice of Ruling</w:t>
      </w:r>
      <w:r w:rsidR="00EA044C">
        <w:t>s</w:t>
      </w:r>
      <w:r w:rsidR="006A49D4">
        <w:t xml:space="preserve"> </w:t>
      </w:r>
      <w:r w:rsidR="00EA044C">
        <w:t>Regarding OTCs’ Petition for Writ of Mandate</w:t>
      </w:r>
      <w:r w:rsidR="006A49D4">
        <w:t>.</w:t>
      </w:r>
    </w:p>
    <w:p w:rsidR="006A49D4" w:rsidRDefault="004D2221" w:rsidP="00A349F2">
      <w:pPr>
        <w:pStyle w:val="Default"/>
        <w:numPr>
          <w:ilvl w:val="0"/>
          <w:numId w:val="25"/>
        </w:numPr>
        <w:spacing w:line="480" w:lineRule="auto"/>
      </w:pPr>
      <w:r>
        <w:t>Expedia h</w:t>
      </w:r>
      <w:r w:rsidR="004509DF">
        <w:t xml:space="preserve">as prevailed before a </w:t>
      </w:r>
      <w:r w:rsidR="00187B56">
        <w:t>state court</w:t>
      </w:r>
      <w:r w:rsidR="004509DF">
        <w:t xml:space="preserve"> of a</w:t>
      </w:r>
      <w:r>
        <w:t xml:space="preserve">ppeals by asserting that the City of New York did not have authority to change its laws in 2009 to require OTCs to collect and remit tax based on the retail rate of rooms sold by OTCs, including amounts the OTCs consider to be </w:t>
      </w:r>
      <w:r w:rsidR="006E7ECD">
        <w:t xml:space="preserve">nontaxable </w:t>
      </w:r>
      <w:r>
        <w:t>facilitation fees.  However, the court note</w:t>
      </w:r>
      <w:r w:rsidR="006E7ECD">
        <w:t>d</w:t>
      </w:r>
      <w:r>
        <w:t xml:space="preserve"> that the </w:t>
      </w:r>
      <w:r w:rsidR="00AD34C2">
        <w:t>l</w:t>
      </w:r>
      <w:r>
        <w:t>egislature changed s</w:t>
      </w:r>
      <w:r w:rsidR="004509DF">
        <w:t>tate law in 2010</w:t>
      </w:r>
      <w:r w:rsidR="00F069B2">
        <w:t xml:space="preserve"> such that</w:t>
      </w:r>
      <w:r w:rsidR="004509DF">
        <w:t xml:space="preserve"> the city regulations </w:t>
      </w:r>
      <w:r w:rsidR="006E7ECD">
        <w:t xml:space="preserve">challenged by Expedia </w:t>
      </w:r>
      <w:r w:rsidR="004509DF">
        <w:t>have been legal since that time</w:t>
      </w:r>
      <w:r w:rsidR="00F069B2">
        <w:t xml:space="preserve">, so the OTCs must collect tax on the retail rate </w:t>
      </w:r>
      <w:r w:rsidR="00AD34C2">
        <w:t xml:space="preserve">of the rooms </w:t>
      </w:r>
      <w:r w:rsidR="00F069B2">
        <w:t>as of the date of the state law change</w:t>
      </w:r>
      <w:r w:rsidR="004509DF">
        <w:t xml:space="preserve">.  </w:t>
      </w:r>
      <w:r w:rsidR="004509DF" w:rsidRPr="004509DF">
        <w:rPr>
          <w:i/>
        </w:rPr>
        <w:t>See Expedia, Inc. v. City of N.Y. Dept. of Finance</w:t>
      </w:r>
      <w:r w:rsidR="004509DF">
        <w:t>, N.Y. App. Div., No. 6174, 650761/09, Nov.29, 2011.</w:t>
      </w:r>
      <w:r>
        <w:t xml:space="preserve"> </w:t>
      </w:r>
      <w:r w:rsidR="006A49D4">
        <w:t xml:space="preserve">      </w:t>
      </w:r>
    </w:p>
    <w:p w:rsidR="00CA22AA" w:rsidRDefault="00CA22AA" w:rsidP="00CA22AA">
      <w:pPr>
        <w:pStyle w:val="Default"/>
        <w:numPr>
          <w:ilvl w:val="0"/>
          <w:numId w:val="25"/>
        </w:numPr>
        <w:spacing w:line="480" w:lineRule="auto"/>
        <w:jc w:val="both"/>
      </w:pPr>
      <w:r w:rsidRPr="00EF19EF">
        <w:rPr>
          <w:i/>
        </w:rPr>
        <w:t>City of Goodlettsville v. Priceline.com, Inc., et al.</w:t>
      </w:r>
      <w:r w:rsidRPr="004F0BBF">
        <w:t xml:space="preserve">, </w:t>
      </w:r>
      <w:r>
        <w:t xml:space="preserve">M.D. Tenn., No. 3:08-cv-00561 (February 21, 2012).  The </w:t>
      </w:r>
      <w:r w:rsidR="00F549A6">
        <w:t xml:space="preserve">federal district </w:t>
      </w:r>
      <w:r>
        <w:t>court</w:t>
      </w:r>
      <w:r w:rsidRPr="00EF19EF">
        <w:t xml:space="preserve"> </w:t>
      </w:r>
      <w:r>
        <w:t xml:space="preserve">had previously </w:t>
      </w:r>
      <w:r w:rsidRPr="00EF19EF">
        <w:t xml:space="preserve">denied the OTCs’ motion to dismiss </w:t>
      </w:r>
      <w:r w:rsidR="00C92B57">
        <w:t>in 20</w:t>
      </w:r>
      <w:r w:rsidR="00A05B3D">
        <w:t>09</w:t>
      </w:r>
      <w:r w:rsidR="00C92B57">
        <w:t xml:space="preserve"> </w:t>
      </w:r>
      <w:r>
        <w:t xml:space="preserve">based on the pleadings before it and granted a motion for class certification </w:t>
      </w:r>
      <w:r>
        <w:lastRenderedPageBreak/>
        <w:t xml:space="preserve">of </w:t>
      </w:r>
      <w:r w:rsidR="00F549A6">
        <w:t>129 cities and counties in Tennessee</w:t>
      </w:r>
      <w:r>
        <w:t xml:space="preserve">.  </w:t>
      </w:r>
      <w:r w:rsidR="009032D2">
        <w:t>A</w:t>
      </w:r>
      <w:r>
        <w:t xml:space="preserve">fter full discovery was completed and the parties </w:t>
      </w:r>
      <w:r w:rsidR="009032D2">
        <w:t>argued</w:t>
      </w:r>
      <w:r>
        <w:t xml:space="preserve"> cross motions for summary judgment, the court determined that the facts about the merchant model and </w:t>
      </w:r>
      <w:r w:rsidR="00F549A6">
        <w:t xml:space="preserve">the </w:t>
      </w:r>
      <w:r>
        <w:t xml:space="preserve">OTCs’ business practices were not as </w:t>
      </w:r>
      <w:r w:rsidR="00F549A6">
        <w:t xml:space="preserve">originally </w:t>
      </w:r>
      <w:r>
        <w:t xml:space="preserve">presented and the controlling statutes </w:t>
      </w:r>
      <w:r w:rsidR="00F549A6">
        <w:t xml:space="preserve">as applied to the facts </w:t>
      </w:r>
      <w:r>
        <w:t xml:space="preserve">only required that </w:t>
      </w:r>
      <w:r w:rsidR="00F549A6">
        <w:t xml:space="preserve">hotel </w:t>
      </w:r>
      <w:r>
        <w:t xml:space="preserve">tax be remitted on the wholesale </w:t>
      </w:r>
      <w:r w:rsidR="00F549A6">
        <w:t xml:space="preserve">room </w:t>
      </w:r>
      <w:r>
        <w:t>rate</w:t>
      </w:r>
      <w:r w:rsidR="00F549A6">
        <w:t>.  T</w:t>
      </w:r>
      <w:r>
        <w:t xml:space="preserve">he </w:t>
      </w:r>
      <w:r w:rsidR="00F549A6">
        <w:t xml:space="preserve">court concluded that the </w:t>
      </w:r>
      <w:r>
        <w:t>OTCs did not</w:t>
      </w:r>
      <w:r w:rsidR="00F549A6">
        <w:t xml:space="preserve"> fit the definition of “operator” since they did not have possession and/or physical control of the hotel premises</w:t>
      </w:r>
      <w:r w:rsidR="009032D2">
        <w:t>, and noted recently decided cases in which a similar decision was reached.</w:t>
      </w:r>
      <w:r w:rsidR="00F549A6">
        <w:t xml:space="preserve">  The court also </w:t>
      </w:r>
      <w:r w:rsidR="009032D2">
        <w:t>explained t</w:t>
      </w:r>
      <w:r w:rsidR="00F549A6">
        <w:t>hat it was the responsibility of the legislature to make any changes to the controlling statutes to cause tax to be due on the retail rate when consumers book hotel rooms through OTCs.</w:t>
      </w:r>
      <w:r w:rsidRPr="008D07FA">
        <w:t xml:space="preserve"> </w:t>
      </w:r>
      <w:r>
        <w:t xml:space="preserve"> </w:t>
      </w:r>
    </w:p>
    <w:p w:rsidR="00CA22AA" w:rsidRDefault="00CA22AA" w:rsidP="00CA22AA">
      <w:pPr>
        <w:pStyle w:val="Default"/>
        <w:spacing w:line="480" w:lineRule="auto"/>
        <w:ind w:left="720"/>
        <w:jc w:val="both"/>
      </w:pPr>
    </w:p>
    <w:p w:rsidR="002A388E" w:rsidRPr="00566C2A" w:rsidRDefault="00566C2A" w:rsidP="00566C2A">
      <w:pPr>
        <w:pStyle w:val="Default"/>
        <w:spacing w:line="480" w:lineRule="auto"/>
        <w:rPr>
          <w:b/>
        </w:rPr>
      </w:pPr>
      <w:r w:rsidRPr="00566C2A">
        <w:rPr>
          <w:b/>
        </w:rPr>
        <w:t>C.  Split Decisions</w:t>
      </w:r>
    </w:p>
    <w:p w:rsidR="00566C2A" w:rsidRPr="004F0BBF" w:rsidRDefault="00566C2A" w:rsidP="005314FC">
      <w:pPr>
        <w:pStyle w:val="Default"/>
        <w:spacing w:line="480" w:lineRule="auto"/>
        <w:ind w:left="720"/>
      </w:pPr>
      <w:r>
        <w:t>1.</w:t>
      </w:r>
      <w:r>
        <w:tab/>
      </w:r>
      <w:r w:rsidRPr="00E4022A">
        <w:rPr>
          <w:i/>
        </w:rPr>
        <w:t>Mayor and City Council of Baltimore v. Priceline.com., Inc</w:t>
      </w:r>
      <w:r w:rsidRPr="00EC53C7">
        <w:rPr>
          <w:i/>
        </w:rPr>
        <w:t>., et al.</w:t>
      </w:r>
      <w:r w:rsidRPr="004F0BBF">
        <w:t xml:space="preserve">, </w:t>
      </w:r>
      <w:r w:rsidR="000F5BFE">
        <w:t xml:space="preserve">Civil Action </w:t>
      </w:r>
      <w:r w:rsidRPr="004F0BBF">
        <w:t xml:space="preserve">No. </w:t>
      </w:r>
      <w:r w:rsidR="000F5BFE">
        <w:t>MJG-08-</w:t>
      </w:r>
      <w:r w:rsidRPr="004F0BBF">
        <w:t>33</w:t>
      </w:r>
      <w:r>
        <w:t>1</w:t>
      </w:r>
      <w:r w:rsidRPr="004F0BBF">
        <w:t>9</w:t>
      </w:r>
      <w:r w:rsidR="000F5BFE">
        <w:t xml:space="preserve"> </w:t>
      </w:r>
      <w:r w:rsidRPr="004F0BBF">
        <w:t>(D. Md.)</w:t>
      </w:r>
      <w:r>
        <w:t xml:space="preserve">.  Priceline and Expedia settled with city, resulting in a recovery of more than $2 million, which covers taxes due through June 30, 2014.  After that date, the city of Baltimore can once again pursue claims for unpaid taxes.  </w:t>
      </w:r>
      <w:r w:rsidR="000F5BFE">
        <w:t>On August 2</w:t>
      </w:r>
      <w:r w:rsidR="00CC2723">
        <w:t xml:space="preserve">, 2011, </w:t>
      </w:r>
      <w:r w:rsidR="007B0504">
        <w:t xml:space="preserve">the </w:t>
      </w:r>
      <w:r w:rsidR="000F5BFE">
        <w:t xml:space="preserve">federal </w:t>
      </w:r>
      <w:r w:rsidR="007B0504">
        <w:t>district court entered a split decision on cross-motions for summary judgment that were filed by the city and the remaining OTCs</w:t>
      </w:r>
      <w:r>
        <w:t>.</w:t>
      </w:r>
      <w:r w:rsidR="007B0504">
        <w:t xml:space="preserve">  The court found that the OTCs were not liable for taxes under the pre-2007 ordinance, </w:t>
      </w:r>
      <w:r w:rsidR="005314FC">
        <w:t xml:space="preserve">which only imposed tax </w:t>
      </w:r>
      <w:r w:rsidR="00EF369F">
        <w:t xml:space="preserve">on amounts </w:t>
      </w:r>
      <w:r w:rsidR="005314FC">
        <w:t xml:space="preserve">paid to owners and operators of hotels, </w:t>
      </w:r>
      <w:r w:rsidR="007B0504">
        <w:t xml:space="preserve">but </w:t>
      </w:r>
      <w:r w:rsidR="00EF369F">
        <w:t xml:space="preserve">found the OTCs </w:t>
      </w:r>
      <w:r w:rsidR="007B0504">
        <w:t>liable under the post-2007 ordinance</w:t>
      </w:r>
      <w:r w:rsidR="005314FC">
        <w:t>, which modified the definition of owner or operator to include any intermediary “with which a hotel has contracted to arrange for the rental of a hotel room for sleeping accommodations</w:t>
      </w:r>
      <w:r w:rsidR="007B0504">
        <w:t>.</w:t>
      </w:r>
      <w:r w:rsidR="005314FC">
        <w:t>”</w:t>
      </w:r>
      <w:r w:rsidR="007B0504">
        <w:t xml:space="preserve">  The court </w:t>
      </w:r>
      <w:r w:rsidR="00EF369F">
        <w:t>asked t</w:t>
      </w:r>
      <w:r w:rsidR="007B0504">
        <w:t xml:space="preserve">he parties to argue </w:t>
      </w:r>
      <w:r w:rsidR="00EF369F">
        <w:t xml:space="preserve">at a later date </w:t>
      </w:r>
      <w:r w:rsidR="007B0504">
        <w:t xml:space="preserve">whether </w:t>
      </w:r>
      <w:r w:rsidR="007B0504">
        <w:lastRenderedPageBreak/>
        <w:t xml:space="preserve">the proper tax base under the </w:t>
      </w:r>
      <w:r w:rsidR="005314FC">
        <w:t>post-2007 ordinance</w:t>
      </w:r>
      <w:r w:rsidR="007B0504">
        <w:t xml:space="preserve"> was the discounted or retail room rate.</w:t>
      </w:r>
      <w:r>
        <w:t xml:space="preserve">   </w:t>
      </w:r>
      <w:r w:rsidRPr="004F0BBF">
        <w:t xml:space="preserve"> </w:t>
      </w:r>
    </w:p>
    <w:p w:rsidR="00566C2A" w:rsidRPr="00AC3507" w:rsidRDefault="00566C2A" w:rsidP="00566C2A">
      <w:pPr>
        <w:pStyle w:val="Default"/>
        <w:spacing w:line="480" w:lineRule="auto"/>
      </w:pPr>
    </w:p>
    <w:p w:rsidR="001F1FAC" w:rsidRPr="006718A3" w:rsidRDefault="003E33E5" w:rsidP="004F0BBF">
      <w:pPr>
        <w:pStyle w:val="CM9"/>
        <w:spacing w:line="480" w:lineRule="auto"/>
        <w:jc w:val="center"/>
        <w:rPr>
          <w:b/>
          <w:color w:val="000000"/>
          <w:u w:val="single"/>
        </w:rPr>
      </w:pPr>
      <w:r w:rsidRPr="006718A3">
        <w:rPr>
          <w:b/>
          <w:color w:val="000000"/>
          <w:u w:val="single"/>
        </w:rPr>
        <w:t xml:space="preserve">II. </w:t>
      </w:r>
      <w:r w:rsidR="007A2ECE" w:rsidRPr="006718A3">
        <w:rPr>
          <w:b/>
          <w:color w:val="000000"/>
          <w:u w:val="single"/>
        </w:rPr>
        <w:t>Motions to Dismiss filed by OTC</w:t>
      </w:r>
      <w:r w:rsidRPr="006718A3">
        <w:rPr>
          <w:b/>
          <w:color w:val="000000"/>
          <w:u w:val="single"/>
        </w:rPr>
        <w:t>s</w:t>
      </w:r>
    </w:p>
    <w:p w:rsidR="00B3700D" w:rsidRDefault="00D018EF" w:rsidP="00AC3507">
      <w:pPr>
        <w:pStyle w:val="CM14"/>
        <w:spacing w:line="480" w:lineRule="auto"/>
        <w:ind w:firstLine="687"/>
        <w:rPr>
          <w:color w:val="000000"/>
        </w:rPr>
      </w:pPr>
      <w:r w:rsidRPr="004F0BBF">
        <w:rPr>
          <w:color w:val="000000"/>
        </w:rPr>
        <w:t xml:space="preserve">The following </w:t>
      </w:r>
      <w:r w:rsidR="0028378F">
        <w:rPr>
          <w:color w:val="000000"/>
        </w:rPr>
        <w:t>cases</w:t>
      </w:r>
      <w:r w:rsidR="00F12F7F">
        <w:rPr>
          <w:color w:val="000000"/>
        </w:rPr>
        <w:t xml:space="preserve"> </w:t>
      </w:r>
      <w:r w:rsidR="002265AB">
        <w:rPr>
          <w:color w:val="000000"/>
        </w:rPr>
        <w:t xml:space="preserve">reflect </w:t>
      </w:r>
      <w:r w:rsidR="00754E27">
        <w:rPr>
          <w:color w:val="000000"/>
        </w:rPr>
        <w:t>the</w:t>
      </w:r>
      <w:r w:rsidR="002265AB">
        <w:rPr>
          <w:color w:val="000000"/>
        </w:rPr>
        <w:t xml:space="preserve"> courts</w:t>
      </w:r>
      <w:r w:rsidR="00754E27">
        <w:rPr>
          <w:color w:val="000000"/>
        </w:rPr>
        <w:t>’</w:t>
      </w:r>
      <w:r w:rsidR="002265AB">
        <w:rPr>
          <w:color w:val="000000"/>
        </w:rPr>
        <w:t xml:space="preserve"> decision</w:t>
      </w:r>
      <w:r w:rsidR="0028378F">
        <w:rPr>
          <w:color w:val="000000"/>
        </w:rPr>
        <w:t>s</w:t>
      </w:r>
      <w:r w:rsidR="002265AB">
        <w:rPr>
          <w:color w:val="000000"/>
        </w:rPr>
        <w:t xml:space="preserve"> </w:t>
      </w:r>
      <w:r w:rsidR="008975B3">
        <w:rPr>
          <w:color w:val="000000"/>
        </w:rPr>
        <w:t xml:space="preserve">after a motion to </w:t>
      </w:r>
      <w:r w:rsidR="00CC0116" w:rsidRPr="004F0BBF">
        <w:rPr>
          <w:color w:val="000000"/>
        </w:rPr>
        <w:t xml:space="preserve">dismiss </w:t>
      </w:r>
      <w:r w:rsidR="008975B3">
        <w:rPr>
          <w:color w:val="000000"/>
        </w:rPr>
        <w:t>was filed by the OTCs</w:t>
      </w:r>
      <w:r w:rsidR="008D07FA">
        <w:rPr>
          <w:color w:val="000000"/>
        </w:rPr>
        <w:t xml:space="preserve"> prior to a full evidentiary hearing</w:t>
      </w:r>
      <w:r w:rsidR="002265AB">
        <w:rPr>
          <w:color w:val="000000"/>
        </w:rPr>
        <w:t xml:space="preserve"> or trial on the merits</w:t>
      </w:r>
      <w:r w:rsidR="001F1FAC" w:rsidRPr="004F0BBF">
        <w:rPr>
          <w:color w:val="000000"/>
        </w:rPr>
        <w:t>.</w:t>
      </w:r>
      <w:r w:rsidR="008975B3">
        <w:rPr>
          <w:color w:val="000000"/>
        </w:rPr>
        <w:t xml:space="preserve">  </w:t>
      </w:r>
      <w:r w:rsidR="00104B40" w:rsidRPr="004F0BBF">
        <w:t>T</w:t>
      </w:r>
      <w:r w:rsidR="0040322C" w:rsidRPr="004F0BBF">
        <w:t xml:space="preserve">hese cases </w:t>
      </w:r>
      <w:r w:rsidR="008D07FA">
        <w:t xml:space="preserve">involved </w:t>
      </w:r>
      <w:r w:rsidR="0040322C" w:rsidRPr="004F0BBF">
        <w:t xml:space="preserve">the </w:t>
      </w:r>
      <w:r w:rsidR="008D07FA">
        <w:t xml:space="preserve">review </w:t>
      </w:r>
      <w:r w:rsidR="0040322C" w:rsidRPr="004F0BBF">
        <w:t xml:space="preserve">of the </w:t>
      </w:r>
      <w:r w:rsidR="008D07FA">
        <w:t xml:space="preserve">taxing jurisdiction’s </w:t>
      </w:r>
      <w:r w:rsidR="0040322C" w:rsidRPr="004F0BBF">
        <w:t xml:space="preserve">complaints, including the facts alleged surrounding </w:t>
      </w:r>
      <w:r w:rsidR="00D25100">
        <w:t xml:space="preserve">the </w:t>
      </w:r>
      <w:r w:rsidR="002265AB">
        <w:t>OTCs</w:t>
      </w:r>
      <w:r w:rsidR="0040322C" w:rsidRPr="004F0BBF">
        <w:t>' rental of hotel rooms</w:t>
      </w:r>
      <w:r w:rsidR="005C3791">
        <w:t>,</w:t>
      </w:r>
      <w:r w:rsidR="008D07FA">
        <w:t xml:space="preserve"> and </w:t>
      </w:r>
      <w:r w:rsidR="0040322C" w:rsidRPr="004F0BBF">
        <w:t xml:space="preserve">the language of the applicable hotel tax </w:t>
      </w:r>
      <w:r w:rsidR="00D644E3">
        <w:t>authorities</w:t>
      </w:r>
      <w:r w:rsidR="0040322C" w:rsidRPr="004F0BBF">
        <w:t xml:space="preserve">, </w:t>
      </w:r>
      <w:r w:rsidR="005C3791">
        <w:t xml:space="preserve">followed by a determination </w:t>
      </w:r>
      <w:r w:rsidR="008D07FA">
        <w:t xml:space="preserve">whether </w:t>
      </w:r>
      <w:r w:rsidR="0040322C" w:rsidRPr="004F0BBF">
        <w:t>the government</w:t>
      </w:r>
      <w:r w:rsidR="005C3791">
        <w:t>al</w:t>
      </w:r>
      <w:r w:rsidR="0040322C" w:rsidRPr="004F0BBF">
        <w:t xml:space="preserve"> entities</w:t>
      </w:r>
      <w:r w:rsidR="002575B4">
        <w:t>’</w:t>
      </w:r>
      <w:r w:rsidR="0040322C" w:rsidRPr="004F0BBF">
        <w:t xml:space="preserve"> stated claims for hotel taxes may proceed.</w:t>
      </w:r>
      <w:r w:rsidR="00754E27">
        <w:t xml:space="preserve">  </w:t>
      </w:r>
      <w:r w:rsidR="00F12F7F">
        <w:rPr>
          <w:color w:val="000000"/>
        </w:rPr>
        <w:t>Other actions, to the extent they have occurred</w:t>
      </w:r>
      <w:r w:rsidR="00B3700D">
        <w:rPr>
          <w:color w:val="000000"/>
        </w:rPr>
        <w:t>, are noted.</w:t>
      </w:r>
    </w:p>
    <w:p w:rsidR="004F0BBF" w:rsidRDefault="00302E8C" w:rsidP="00B3700D">
      <w:pPr>
        <w:pStyle w:val="CM9"/>
        <w:spacing w:line="480" w:lineRule="auto"/>
        <w:rPr>
          <w:b/>
          <w:color w:val="000000"/>
        </w:rPr>
      </w:pPr>
      <w:r w:rsidRPr="00F12F7F">
        <w:rPr>
          <w:b/>
          <w:color w:val="000000"/>
        </w:rPr>
        <w:t>A</w:t>
      </w:r>
      <w:r w:rsidR="00AC3507">
        <w:rPr>
          <w:b/>
          <w:color w:val="000000"/>
        </w:rPr>
        <w:t xml:space="preserve">.  </w:t>
      </w:r>
      <w:r w:rsidR="005C3791">
        <w:rPr>
          <w:b/>
          <w:color w:val="000000"/>
        </w:rPr>
        <w:t xml:space="preserve">Decisions Denying </w:t>
      </w:r>
      <w:r w:rsidR="00BF543D" w:rsidRPr="00F12F7F">
        <w:rPr>
          <w:b/>
          <w:color w:val="000000"/>
        </w:rPr>
        <w:t>OTC</w:t>
      </w:r>
      <w:r w:rsidR="005C3791">
        <w:rPr>
          <w:b/>
          <w:color w:val="000000"/>
        </w:rPr>
        <w:t>s’</w:t>
      </w:r>
      <w:r w:rsidR="00BF543D" w:rsidRPr="00F12F7F">
        <w:rPr>
          <w:b/>
          <w:color w:val="000000"/>
        </w:rPr>
        <w:t xml:space="preserve"> </w:t>
      </w:r>
      <w:r w:rsidRPr="00F12F7F">
        <w:rPr>
          <w:b/>
          <w:color w:val="000000"/>
        </w:rPr>
        <w:t>Motions to Dismiss</w:t>
      </w:r>
    </w:p>
    <w:p w:rsidR="0028378F" w:rsidRPr="004F0BBF" w:rsidRDefault="0028378F" w:rsidP="0028378F">
      <w:pPr>
        <w:pStyle w:val="CM14"/>
        <w:spacing w:line="480" w:lineRule="auto"/>
        <w:ind w:firstLine="687"/>
        <w:rPr>
          <w:color w:val="000000"/>
        </w:rPr>
      </w:pPr>
      <w:r w:rsidRPr="004F0BBF">
        <w:t xml:space="preserve">The </w:t>
      </w:r>
      <w:r>
        <w:t xml:space="preserve">courts in these cases generally </w:t>
      </w:r>
      <w:r w:rsidRPr="004F0BBF">
        <w:t>held that</w:t>
      </w:r>
      <w:r w:rsidR="00AD044A">
        <w:t xml:space="preserve"> </w:t>
      </w:r>
      <w:r w:rsidRPr="004F0BBF">
        <w:t>the government</w:t>
      </w:r>
      <w:r w:rsidR="005C3791">
        <w:t>al</w:t>
      </w:r>
      <w:r w:rsidRPr="004F0BBF">
        <w:t xml:space="preserve"> entities </w:t>
      </w:r>
      <w:r w:rsidRPr="00F12F7F">
        <w:t>properly stated claims</w:t>
      </w:r>
      <w:r w:rsidRPr="004F0BBF">
        <w:t xml:space="preserve"> that the </w:t>
      </w:r>
      <w:r w:rsidR="002473E6">
        <w:t>OTCs</w:t>
      </w:r>
      <w:r w:rsidRPr="004F0BBF">
        <w:t xml:space="preserve"> </w:t>
      </w:r>
      <w:r w:rsidR="002473E6">
        <w:t xml:space="preserve">are subject to the controlling authorities and </w:t>
      </w:r>
      <w:r>
        <w:t>m</w:t>
      </w:r>
      <w:r w:rsidRPr="004F0BBF">
        <w:t xml:space="preserve">ust </w:t>
      </w:r>
      <w:r w:rsidR="002473E6">
        <w:t xml:space="preserve">collect and </w:t>
      </w:r>
      <w:r w:rsidRPr="004F0BBF">
        <w:t xml:space="preserve">remit </w:t>
      </w:r>
      <w:r w:rsidR="002473E6">
        <w:t xml:space="preserve">or pay </w:t>
      </w:r>
      <w:r w:rsidRPr="004F0BBF">
        <w:t xml:space="preserve">taxes to the government </w:t>
      </w:r>
      <w:r w:rsidR="002473E6">
        <w:t xml:space="preserve">entities </w:t>
      </w:r>
      <w:r w:rsidRPr="004F0BBF">
        <w:t xml:space="preserve">on the </w:t>
      </w:r>
      <w:r w:rsidR="002473E6">
        <w:t xml:space="preserve">marked up room rates charged to </w:t>
      </w:r>
      <w:r w:rsidRPr="004F0BBF">
        <w:t>their customers</w:t>
      </w:r>
      <w:r w:rsidR="002473E6">
        <w:t xml:space="preserve"> and, therefore, the case</w:t>
      </w:r>
      <w:r w:rsidR="00323AB9">
        <w:t>s</w:t>
      </w:r>
      <w:r w:rsidR="002473E6">
        <w:t xml:space="preserve"> should not be dismissed</w:t>
      </w:r>
      <w:r w:rsidRPr="004F0BBF">
        <w:t>.</w:t>
      </w:r>
      <w:r w:rsidR="0082373E">
        <w:t xml:space="preserve">  </w:t>
      </w:r>
      <w:r w:rsidR="00074EF6">
        <w:t xml:space="preserve">  </w:t>
      </w:r>
      <w:r w:rsidR="00102394">
        <w:t xml:space="preserve">  </w:t>
      </w:r>
      <w:r>
        <w:t xml:space="preserve">  </w:t>
      </w:r>
      <w:r w:rsidRPr="004F0BBF">
        <w:t xml:space="preserve"> </w:t>
      </w:r>
      <w:r w:rsidRPr="004F0BBF">
        <w:rPr>
          <w:color w:val="000000"/>
        </w:rPr>
        <w:t xml:space="preserve"> </w:t>
      </w:r>
    </w:p>
    <w:p w:rsidR="00E4022A" w:rsidRDefault="004F0BBF" w:rsidP="002B712F">
      <w:pPr>
        <w:pStyle w:val="Default"/>
        <w:numPr>
          <w:ilvl w:val="0"/>
          <w:numId w:val="27"/>
        </w:numPr>
        <w:spacing w:line="480" w:lineRule="auto"/>
      </w:pPr>
      <w:r w:rsidRPr="00E4022A">
        <w:rPr>
          <w:i/>
        </w:rPr>
        <w:t>The County of</w:t>
      </w:r>
      <w:r w:rsidR="00302E8C" w:rsidRPr="00E4022A">
        <w:rPr>
          <w:i/>
        </w:rPr>
        <w:t xml:space="preserve"> </w:t>
      </w:r>
      <w:r w:rsidRPr="00E4022A">
        <w:rPr>
          <w:i/>
        </w:rPr>
        <w:t>Monroe, Florida v. Priceline.com</w:t>
      </w:r>
      <w:r w:rsidRPr="00EC53C7">
        <w:rPr>
          <w:i/>
        </w:rPr>
        <w:t>., Inc., et a</w:t>
      </w:r>
      <w:r w:rsidR="00F12F7F" w:rsidRPr="00EC53C7">
        <w:rPr>
          <w:i/>
        </w:rPr>
        <w:t>l</w:t>
      </w:r>
      <w:r w:rsidRPr="00EC53C7">
        <w:rPr>
          <w:i/>
        </w:rPr>
        <w:t xml:space="preserve">., </w:t>
      </w:r>
      <w:r w:rsidRPr="004F0BBF">
        <w:t>2009 U.S. Dist. LEXIS 1</w:t>
      </w:r>
      <w:r w:rsidR="008D07FA">
        <w:t>17602 (S.D. Fla. Dec. 17,</w:t>
      </w:r>
      <w:r w:rsidR="00F12F7F">
        <w:t xml:space="preserve"> </w:t>
      </w:r>
      <w:r w:rsidR="008D07FA">
        <w:t xml:space="preserve">2009).  </w:t>
      </w:r>
      <w:r w:rsidR="0028378F">
        <w:t>A c</w:t>
      </w:r>
      <w:r w:rsidR="00F12F7F">
        <w:t xml:space="preserve">lass action </w:t>
      </w:r>
      <w:r w:rsidR="0028378F">
        <w:t xml:space="preserve">was </w:t>
      </w:r>
      <w:r w:rsidR="00F12F7F">
        <w:t xml:space="preserve">certified </w:t>
      </w:r>
      <w:r w:rsidR="006374A8">
        <w:t>by the c</w:t>
      </w:r>
      <w:r w:rsidR="0028378F">
        <w:t xml:space="preserve">ourt </w:t>
      </w:r>
      <w:r w:rsidR="00F12F7F">
        <w:t xml:space="preserve">on </w:t>
      </w:r>
      <w:r w:rsidR="0028378F">
        <w:t>March 15, 2010</w:t>
      </w:r>
      <w:r w:rsidR="0082373E">
        <w:t xml:space="preserve"> for all counties in Florida that enacted a hotel tax and had not received tax due on the amount received by the OTCs as consideration for the rooms they rented in those counties</w:t>
      </w:r>
      <w:r w:rsidR="00F12F7F">
        <w:t>.</w:t>
      </w:r>
      <w:r w:rsidR="00E4022A">
        <w:t xml:space="preserve">  The Court further ruled that exhaustion of administrative remedies before filing suit w</w:t>
      </w:r>
      <w:r w:rsidR="00EC53C7">
        <w:t>as</w:t>
      </w:r>
      <w:r w:rsidR="00E4022A">
        <w:t xml:space="preserve"> futile.</w:t>
      </w:r>
      <w:r w:rsidR="00A32C9D">
        <w:t xml:space="preserve">  On August 2, 2010,</w:t>
      </w:r>
      <w:r w:rsidR="000E35B4">
        <w:t xml:space="preserve"> Monroe County asked the court to grant preliminary approval to a master settlement agreement in which the OTCs would pay $6.5 million to </w:t>
      </w:r>
      <w:r w:rsidR="00D47669">
        <w:t>over 30</w:t>
      </w:r>
      <w:r w:rsidR="000E35B4">
        <w:t xml:space="preserve"> counties, but the agreement does not settle the question of whether there is any future obligation by the OTCs to collect and remit hotel taxes</w:t>
      </w:r>
      <w:r w:rsidR="00D47669">
        <w:t xml:space="preserve"> and there was no admission of </w:t>
      </w:r>
      <w:r w:rsidR="00D47669">
        <w:lastRenderedPageBreak/>
        <w:t>liability for unpaid taxes by the OTCs</w:t>
      </w:r>
      <w:r w:rsidR="000E35B4">
        <w:t>.</w:t>
      </w:r>
      <w:r w:rsidR="0069041C">
        <w:t xml:space="preserve">  On January 6, 2011, the court granted final approval of the settlement</w:t>
      </w:r>
      <w:r w:rsidR="00D47669">
        <w:t xml:space="preserve">.  </w:t>
      </w:r>
      <w:r w:rsidR="00EC7346" w:rsidRPr="00EC7346">
        <w:rPr>
          <w:i/>
        </w:rPr>
        <w:t xml:space="preserve">See Monroe County, Fla. </w:t>
      </w:r>
      <w:r w:rsidR="002760DB">
        <w:rPr>
          <w:i/>
        </w:rPr>
        <w:t>v</w:t>
      </w:r>
      <w:r w:rsidR="00EC7346" w:rsidRPr="00EC7346">
        <w:rPr>
          <w:i/>
        </w:rPr>
        <w:t>. Priceline.com Inc.,</w:t>
      </w:r>
      <w:r w:rsidR="00EC7346">
        <w:t xml:space="preserve"> S.D. Fla., No 09-10004-CIV-Moore/Simonton).</w:t>
      </w:r>
      <w:r w:rsidR="000E35B4">
        <w:t xml:space="preserve"> </w:t>
      </w:r>
      <w:r w:rsidR="00A32C9D">
        <w:t xml:space="preserve"> </w:t>
      </w:r>
      <w:r w:rsidR="00E4022A">
        <w:t xml:space="preserve">  </w:t>
      </w:r>
    </w:p>
    <w:p w:rsidR="004F0BBF" w:rsidRPr="004F0BBF" w:rsidRDefault="004F0BBF" w:rsidP="002B712F">
      <w:pPr>
        <w:pStyle w:val="Default"/>
        <w:numPr>
          <w:ilvl w:val="0"/>
          <w:numId w:val="27"/>
        </w:numPr>
        <w:spacing w:line="480" w:lineRule="auto"/>
      </w:pPr>
      <w:r w:rsidRPr="00AD044A">
        <w:rPr>
          <w:i/>
        </w:rPr>
        <w:t>Jefferson City v. Hotels.com, L.P., et al.</w:t>
      </w:r>
      <w:r w:rsidRPr="004F0BBF">
        <w:t>, 07AC-CC0055 (Ci</w:t>
      </w:r>
      <w:r w:rsidR="00F12F7F">
        <w:t xml:space="preserve">r. Ct. Cole Cty. June 19, 2008).   </w:t>
      </w:r>
    </w:p>
    <w:p w:rsidR="004F0BBF" w:rsidRPr="008D07FA" w:rsidRDefault="004F0BBF" w:rsidP="002B712F">
      <w:pPr>
        <w:pStyle w:val="Default"/>
        <w:numPr>
          <w:ilvl w:val="0"/>
          <w:numId w:val="27"/>
        </w:numPr>
        <w:spacing w:line="480" w:lineRule="auto"/>
        <w:jc w:val="both"/>
      </w:pPr>
      <w:r w:rsidRPr="00AD044A">
        <w:rPr>
          <w:i/>
        </w:rPr>
        <w:t>Wake County v. Hotels.com, L.P., et a</w:t>
      </w:r>
      <w:r w:rsidR="009B0F1B" w:rsidRPr="00AD044A">
        <w:rPr>
          <w:i/>
        </w:rPr>
        <w:t>l</w:t>
      </w:r>
      <w:r w:rsidRPr="00AD044A">
        <w:rPr>
          <w:i/>
        </w:rPr>
        <w:t>.</w:t>
      </w:r>
      <w:r w:rsidRPr="004F0BBF">
        <w:t xml:space="preserve">, 06 CVS 16256 (Sup. Ct., Wake County, </w:t>
      </w:r>
      <w:r w:rsidRPr="008D07FA">
        <w:t>N.C. May 15</w:t>
      </w:r>
      <w:r w:rsidR="006374A8">
        <w:t>,</w:t>
      </w:r>
      <w:r w:rsidRPr="008D07FA">
        <w:t xml:space="preserve"> 2008)</w:t>
      </w:r>
      <w:r w:rsidR="00F12F7F">
        <w:t>.</w:t>
      </w:r>
      <w:r w:rsidRPr="008D07FA">
        <w:t xml:space="preserve"> </w:t>
      </w:r>
    </w:p>
    <w:p w:rsidR="00967E39" w:rsidRPr="00967E39" w:rsidRDefault="004F0BBF" w:rsidP="002B712F">
      <w:pPr>
        <w:pStyle w:val="Default"/>
        <w:numPr>
          <w:ilvl w:val="0"/>
          <w:numId w:val="27"/>
        </w:numPr>
        <w:spacing w:line="480" w:lineRule="auto"/>
      </w:pPr>
      <w:r w:rsidRPr="00AD044A">
        <w:rPr>
          <w:i/>
        </w:rPr>
        <w:t>Horry County v. Hotels.com, L.P., et a</w:t>
      </w:r>
      <w:r w:rsidR="00F12F7F" w:rsidRPr="00AD044A">
        <w:rPr>
          <w:i/>
        </w:rPr>
        <w:t>l</w:t>
      </w:r>
      <w:r w:rsidRPr="00AD044A">
        <w:rPr>
          <w:i/>
        </w:rPr>
        <w:t>.</w:t>
      </w:r>
      <w:r w:rsidRPr="004F0BBF">
        <w:t>, 2007 CP26-</w:t>
      </w:r>
      <w:r w:rsidRPr="00F12F7F">
        <w:t xml:space="preserve">0737 </w:t>
      </w:r>
      <w:r w:rsidRPr="00F12F7F">
        <w:rPr>
          <w:iCs/>
        </w:rPr>
        <w:t xml:space="preserve">(Ct. </w:t>
      </w:r>
      <w:r w:rsidRPr="00F12F7F">
        <w:t>Comm. Pleas</w:t>
      </w:r>
      <w:r w:rsidRPr="004F0BBF">
        <w:t xml:space="preserve">, Cty. </w:t>
      </w:r>
      <w:r w:rsidR="00967E39">
        <w:t>o</w:t>
      </w:r>
      <w:r w:rsidRPr="004F0BBF">
        <w:t>f</w:t>
      </w:r>
      <w:r w:rsidR="008D07FA">
        <w:t xml:space="preserve"> H</w:t>
      </w:r>
      <w:r w:rsidRPr="004F0BBF">
        <w:t>orry</w:t>
      </w:r>
      <w:r w:rsidRPr="008D07FA">
        <w:t xml:space="preserve">, </w:t>
      </w:r>
      <w:r w:rsidRPr="008D07FA">
        <w:rPr>
          <w:iCs/>
        </w:rPr>
        <w:t>S.</w:t>
      </w:r>
      <w:r w:rsidR="008D07FA" w:rsidRPr="008D07FA">
        <w:rPr>
          <w:iCs/>
        </w:rPr>
        <w:t>C</w:t>
      </w:r>
      <w:r w:rsidRPr="008D07FA">
        <w:rPr>
          <w:iCs/>
        </w:rPr>
        <w:t xml:space="preserve">. </w:t>
      </w:r>
      <w:r w:rsidRPr="008D07FA">
        <w:t xml:space="preserve">Mar. </w:t>
      </w:r>
      <w:r w:rsidR="00F12F7F">
        <w:rPr>
          <w:iCs/>
        </w:rPr>
        <w:t>18, 2008).</w:t>
      </w:r>
    </w:p>
    <w:p w:rsidR="004C3892" w:rsidRPr="004C3892" w:rsidRDefault="00967E39" w:rsidP="002B712F">
      <w:pPr>
        <w:pStyle w:val="Default"/>
        <w:numPr>
          <w:ilvl w:val="0"/>
          <w:numId w:val="27"/>
        </w:numPr>
        <w:spacing w:line="480" w:lineRule="auto"/>
      </w:pPr>
      <w:r w:rsidRPr="004C3892">
        <w:rPr>
          <w:i/>
        </w:rPr>
        <w:t>City of Myrtle Beach v. Hotels.com, L.P., et al.</w:t>
      </w:r>
      <w:r w:rsidRPr="004F0BBF">
        <w:t>, 2007 CP26-</w:t>
      </w:r>
      <w:r w:rsidRPr="00F12F7F">
        <w:t>073</w:t>
      </w:r>
      <w:r>
        <w:t>8</w:t>
      </w:r>
      <w:r w:rsidRPr="00F12F7F">
        <w:t xml:space="preserve"> </w:t>
      </w:r>
      <w:r w:rsidRPr="004C3892">
        <w:rPr>
          <w:iCs/>
        </w:rPr>
        <w:t xml:space="preserve">(Ct. </w:t>
      </w:r>
      <w:r w:rsidRPr="00F12F7F">
        <w:t>Comm. Pleas</w:t>
      </w:r>
      <w:r w:rsidRPr="004F0BBF">
        <w:t xml:space="preserve">, Cty. </w:t>
      </w:r>
      <w:r>
        <w:t>o</w:t>
      </w:r>
      <w:r w:rsidRPr="004F0BBF">
        <w:t>f</w:t>
      </w:r>
      <w:r>
        <w:t xml:space="preserve"> H</w:t>
      </w:r>
      <w:r w:rsidRPr="004F0BBF">
        <w:t>orry</w:t>
      </w:r>
      <w:r w:rsidRPr="008D07FA">
        <w:t xml:space="preserve">, </w:t>
      </w:r>
      <w:r w:rsidRPr="004C3892">
        <w:rPr>
          <w:iCs/>
        </w:rPr>
        <w:t>S.C.</w:t>
      </w:r>
      <w:r w:rsidR="00D0385F">
        <w:rPr>
          <w:iCs/>
        </w:rPr>
        <w:t>,</w:t>
      </w:r>
      <w:r w:rsidRPr="004C3892">
        <w:rPr>
          <w:iCs/>
        </w:rPr>
        <w:t xml:space="preserve"> </w:t>
      </w:r>
      <w:r w:rsidRPr="008D07FA">
        <w:t xml:space="preserve">Mar. </w:t>
      </w:r>
      <w:r w:rsidRPr="004C3892">
        <w:rPr>
          <w:iCs/>
        </w:rPr>
        <w:t>18, 2008).</w:t>
      </w:r>
    </w:p>
    <w:p w:rsidR="004F0BBF" w:rsidRPr="004F0BBF" w:rsidRDefault="004F0BBF" w:rsidP="002B712F">
      <w:pPr>
        <w:pStyle w:val="Default"/>
        <w:numPr>
          <w:ilvl w:val="0"/>
          <w:numId w:val="27"/>
        </w:numPr>
        <w:spacing w:line="480" w:lineRule="auto"/>
      </w:pPr>
      <w:r w:rsidRPr="00AD044A">
        <w:rPr>
          <w:i/>
        </w:rPr>
        <w:t>City of</w:t>
      </w:r>
      <w:r w:rsidR="00900B00" w:rsidRPr="00AD044A">
        <w:rPr>
          <w:i/>
        </w:rPr>
        <w:t xml:space="preserve"> </w:t>
      </w:r>
      <w:r w:rsidRPr="00AD044A">
        <w:rPr>
          <w:i/>
        </w:rPr>
        <w:t>Branson v. Hotels.com</w:t>
      </w:r>
      <w:r w:rsidRPr="004F0BBF">
        <w:t>, Case No. 106cc5</w:t>
      </w:r>
      <w:r w:rsidR="008D07FA">
        <w:t>164 (Green Cty., Nov. 26, 2007).</w:t>
      </w:r>
      <w:r w:rsidRPr="004F0BBF">
        <w:t xml:space="preserve"> </w:t>
      </w:r>
    </w:p>
    <w:p w:rsidR="002908B9" w:rsidRDefault="002908B9" w:rsidP="002B712F">
      <w:pPr>
        <w:pStyle w:val="Default"/>
        <w:numPr>
          <w:ilvl w:val="0"/>
          <w:numId w:val="27"/>
        </w:numPr>
        <w:spacing w:line="480" w:lineRule="auto"/>
      </w:pPr>
      <w:r w:rsidRPr="00AD044A">
        <w:rPr>
          <w:i/>
        </w:rPr>
        <w:t>Wake County v. Hotels.com</w:t>
      </w:r>
      <w:r>
        <w:t>, 2007 NCBC L</w:t>
      </w:r>
      <w:r w:rsidR="000A10AF">
        <w:t>EXIS</w:t>
      </w:r>
      <w:r>
        <w:t xml:space="preserve"> 35 (Super. Ct., Nov. 20, 2007).  </w:t>
      </w:r>
    </w:p>
    <w:p w:rsidR="002908B9" w:rsidRDefault="006C3109" w:rsidP="002B712F">
      <w:pPr>
        <w:pStyle w:val="Default"/>
        <w:numPr>
          <w:ilvl w:val="0"/>
          <w:numId w:val="27"/>
        </w:numPr>
        <w:spacing w:line="480" w:lineRule="auto"/>
      </w:pPr>
      <w:r w:rsidRPr="006C3109">
        <w:t>In</w:t>
      </w:r>
      <w:r>
        <w:rPr>
          <w:i/>
        </w:rPr>
        <w:t xml:space="preserve"> </w:t>
      </w:r>
      <w:r w:rsidR="002908B9" w:rsidRPr="00AD044A">
        <w:rPr>
          <w:i/>
        </w:rPr>
        <w:t>City of Charleston, S.C. v. Hotels.com</w:t>
      </w:r>
      <w:r w:rsidR="002908B9">
        <w:t>; 520 F. Supp. 2d 757 (D.S.C. 2007)</w:t>
      </w:r>
      <w:r>
        <w:t>, the court found that “if consumers access a website, use it to book a hotel room, pay the website directly, and never pay the hotel, or interact with the hotel at all until they arrive, the Court cannot accept [the OTCs</w:t>
      </w:r>
      <w:r w:rsidR="00571EB3">
        <w:t>’</w:t>
      </w:r>
      <w:r>
        <w:t xml:space="preserve">] assertion that they do not furnish accommodations to consumers.”  </w:t>
      </w:r>
      <w:r w:rsidR="00A349F2">
        <w:t xml:space="preserve"> </w:t>
      </w:r>
      <w:r w:rsidR="008B4992" w:rsidRPr="008B4992">
        <w:rPr>
          <w:i/>
        </w:rPr>
        <w:t>S</w:t>
      </w:r>
      <w:r w:rsidR="00A349F2" w:rsidRPr="00A349F2">
        <w:rPr>
          <w:i/>
        </w:rPr>
        <w:t>ee</w:t>
      </w:r>
      <w:r w:rsidR="008B4992">
        <w:rPr>
          <w:i/>
        </w:rPr>
        <w:t xml:space="preserve"> also</w:t>
      </w:r>
      <w:r w:rsidR="00A349F2">
        <w:t xml:space="preserve"> 586 F. Supp. 538 (D. S.C. 2008) (denying Hotels.com’s motion for reconsideration and certificate of appealability)</w:t>
      </w:r>
      <w:r w:rsidR="002908B9">
        <w:t xml:space="preserve">.  </w:t>
      </w:r>
    </w:p>
    <w:p w:rsidR="002908B9" w:rsidRDefault="002908B9" w:rsidP="002B712F">
      <w:pPr>
        <w:pStyle w:val="Default"/>
        <w:numPr>
          <w:ilvl w:val="0"/>
          <w:numId w:val="27"/>
        </w:numPr>
        <w:spacing w:line="480" w:lineRule="auto"/>
      </w:pPr>
      <w:r w:rsidRPr="00AD044A">
        <w:rPr>
          <w:i/>
        </w:rPr>
        <w:t>City of North Myrtle Beach v. Hotels.com L.P.</w:t>
      </w:r>
      <w:r>
        <w:t>, 2007 U.S. Dist. L</w:t>
      </w:r>
      <w:r w:rsidR="000A10AF">
        <w:t>EXIS</w:t>
      </w:r>
      <w:r>
        <w:t xml:space="preserve"> 85886 (D.S.C. Sept 30. 2007).</w:t>
      </w:r>
      <w:r w:rsidR="00D47669">
        <w:t xml:space="preserve">  </w:t>
      </w:r>
      <w:r w:rsidR="00CB60A8">
        <w:t>The</w:t>
      </w:r>
      <w:r w:rsidR="006B6763">
        <w:t xml:space="preserve"> parties agreed to </w:t>
      </w:r>
      <w:r w:rsidR="00CB60A8">
        <w:t>settle</w:t>
      </w:r>
      <w:r w:rsidR="006B6763">
        <w:t xml:space="preserve"> the matter</w:t>
      </w:r>
      <w:r w:rsidR="00CB60A8">
        <w:t xml:space="preserve"> </w:t>
      </w:r>
      <w:r w:rsidR="00491032">
        <w:t xml:space="preserve">in </w:t>
      </w:r>
      <w:r w:rsidR="00491032" w:rsidRPr="006B6763">
        <w:t>October 2010</w:t>
      </w:r>
      <w:r w:rsidR="00491032">
        <w:t xml:space="preserve"> </w:t>
      </w:r>
      <w:r w:rsidR="00CB60A8">
        <w:t>with the OTCs agreeing to pay of $900,000 to</w:t>
      </w:r>
      <w:r w:rsidR="00014D18">
        <w:t xml:space="preserve"> </w:t>
      </w:r>
      <w:r w:rsidR="006B6763">
        <w:t xml:space="preserve">the cities of </w:t>
      </w:r>
      <w:r w:rsidR="00014D18">
        <w:t>Charleston, North Myrtle Beach, and Mt. Pleasant</w:t>
      </w:r>
      <w:r w:rsidR="00CB60A8">
        <w:t xml:space="preserve"> in exchange for an agreement that the cities </w:t>
      </w:r>
      <w:r w:rsidR="00491032">
        <w:t xml:space="preserve">not seek payment of hotel taxes for the next two years.  </w:t>
      </w:r>
      <w:r w:rsidR="0066139A">
        <w:t xml:space="preserve"> </w:t>
      </w:r>
      <w:r>
        <w:t xml:space="preserve">  </w:t>
      </w:r>
    </w:p>
    <w:p w:rsidR="004F0BBF" w:rsidRPr="004F0BBF" w:rsidRDefault="002908B9" w:rsidP="00C11340">
      <w:pPr>
        <w:pStyle w:val="Default"/>
        <w:numPr>
          <w:ilvl w:val="0"/>
          <w:numId w:val="27"/>
        </w:numPr>
        <w:spacing w:line="480" w:lineRule="auto"/>
      </w:pPr>
      <w:r w:rsidRPr="00AD044A">
        <w:rPr>
          <w:i/>
        </w:rPr>
        <w:lastRenderedPageBreak/>
        <w:t>City of Chicago v. Hote</w:t>
      </w:r>
      <w:r w:rsidR="006374A8" w:rsidRPr="00AD044A">
        <w:rPr>
          <w:i/>
        </w:rPr>
        <w:t>l</w:t>
      </w:r>
      <w:r w:rsidRPr="00AD044A">
        <w:rPr>
          <w:i/>
        </w:rPr>
        <w:t>s.com L.P.</w:t>
      </w:r>
      <w:r>
        <w:t xml:space="preserve">, No. 05-L-051003 (Cir. Ct. Cook Cty, Ill. Sept. 27, </w:t>
      </w:r>
      <w:r w:rsidR="004F0BBF" w:rsidRPr="004F0BBF">
        <w:t>2007)</w:t>
      </w:r>
      <w:r w:rsidR="00F12F7F">
        <w:t>.</w:t>
      </w:r>
      <w:r w:rsidR="00F12F7F" w:rsidRPr="006374A8">
        <w:rPr>
          <w:i/>
        </w:rPr>
        <w:t xml:space="preserve"> </w:t>
      </w:r>
    </w:p>
    <w:p w:rsidR="006374A8" w:rsidRPr="006374A8" w:rsidRDefault="004F0BBF" w:rsidP="002B712F">
      <w:pPr>
        <w:pStyle w:val="Default"/>
        <w:numPr>
          <w:ilvl w:val="0"/>
          <w:numId w:val="27"/>
        </w:numPr>
        <w:spacing w:line="480" w:lineRule="auto"/>
      </w:pPr>
      <w:r w:rsidRPr="00323AB9">
        <w:rPr>
          <w:i/>
        </w:rPr>
        <w:t>Leon County v. Hotels.com, L.P.</w:t>
      </w:r>
      <w:r w:rsidRPr="004F0BBF">
        <w:t xml:space="preserve">, </w:t>
      </w:r>
      <w:r w:rsidRPr="00323AB9">
        <w:rPr>
          <w:iCs/>
        </w:rPr>
        <w:t xml:space="preserve">2006 </w:t>
      </w:r>
      <w:r w:rsidRPr="00F12F7F">
        <w:t>U</w:t>
      </w:r>
      <w:r w:rsidRPr="004F0BBF">
        <w:t>.S. Dist. LEXIS 88253 (S.D. Fla. Dec. 6,</w:t>
      </w:r>
      <w:r w:rsidR="00F12F7F">
        <w:t xml:space="preserve"> </w:t>
      </w:r>
      <w:r w:rsidRPr="004F0BBF">
        <w:t>2006)</w:t>
      </w:r>
      <w:r w:rsidR="00F12F7F">
        <w:t>.</w:t>
      </w:r>
    </w:p>
    <w:p w:rsidR="004F0BBF" w:rsidRPr="004F0BBF" w:rsidRDefault="004F0BBF" w:rsidP="002B712F">
      <w:pPr>
        <w:pStyle w:val="Default"/>
        <w:numPr>
          <w:ilvl w:val="0"/>
          <w:numId w:val="27"/>
        </w:numPr>
        <w:spacing w:line="480" w:lineRule="auto"/>
      </w:pPr>
      <w:r w:rsidRPr="00AD044A">
        <w:rPr>
          <w:i/>
        </w:rPr>
        <w:t>City of</w:t>
      </w:r>
      <w:r w:rsidR="0017059F" w:rsidRPr="00AD044A">
        <w:rPr>
          <w:i/>
        </w:rPr>
        <w:t xml:space="preserve"> </w:t>
      </w:r>
      <w:r w:rsidRPr="00AD044A">
        <w:rPr>
          <w:i/>
        </w:rPr>
        <w:t>Fairview Heig</w:t>
      </w:r>
      <w:r w:rsidR="00F12F7F" w:rsidRPr="00AD044A">
        <w:rPr>
          <w:i/>
        </w:rPr>
        <w:t>h</w:t>
      </w:r>
      <w:r w:rsidRPr="00AD044A">
        <w:rPr>
          <w:i/>
        </w:rPr>
        <w:t>ts v. Orbitz, Inc.</w:t>
      </w:r>
      <w:r w:rsidRPr="004F0BBF">
        <w:t>, 2006 U.S. Dist. LEXIS 4</w:t>
      </w:r>
      <w:r w:rsidR="00F12F7F">
        <w:t>7085 (S.D. III. July 12, 2006).</w:t>
      </w:r>
      <w:r w:rsidR="00F12F7F" w:rsidRPr="006374A8">
        <w:rPr>
          <w:i/>
        </w:rPr>
        <w:t xml:space="preserve"> </w:t>
      </w:r>
    </w:p>
    <w:p w:rsidR="004F0BBF" w:rsidRDefault="004F0BBF" w:rsidP="002B712F">
      <w:pPr>
        <w:pStyle w:val="Default"/>
        <w:numPr>
          <w:ilvl w:val="0"/>
          <w:numId w:val="27"/>
        </w:numPr>
        <w:spacing w:line="480" w:lineRule="auto"/>
      </w:pPr>
      <w:r w:rsidRPr="00AD044A">
        <w:rPr>
          <w:i/>
        </w:rPr>
        <w:t>City of</w:t>
      </w:r>
      <w:r w:rsidR="0017059F" w:rsidRPr="00AD044A">
        <w:rPr>
          <w:i/>
        </w:rPr>
        <w:t xml:space="preserve"> </w:t>
      </w:r>
      <w:r w:rsidRPr="00AD044A">
        <w:rPr>
          <w:i/>
        </w:rPr>
        <w:t>Rome, Georgia v. Hotels.com, et a</w:t>
      </w:r>
      <w:r w:rsidR="00F12F7F" w:rsidRPr="00AD044A">
        <w:rPr>
          <w:i/>
        </w:rPr>
        <w:t>l</w:t>
      </w:r>
      <w:r w:rsidRPr="00AD044A">
        <w:rPr>
          <w:i/>
        </w:rPr>
        <w:t>.</w:t>
      </w:r>
      <w:r w:rsidRPr="004F0BBF">
        <w:t>, 2006 U.S. Dist. LEXI</w:t>
      </w:r>
      <w:r w:rsidR="00F12F7F">
        <w:t>S 56369 (N.D. Ga. May 8, 2006)</w:t>
      </w:r>
      <w:r w:rsidR="00560E42">
        <w:t>; on March, 21, 2011, a class of 259 local governments was certified to proceed in the case</w:t>
      </w:r>
      <w:r w:rsidR="00F12F7F">
        <w:t>.</w:t>
      </w:r>
    </w:p>
    <w:p w:rsidR="00D20D97" w:rsidRDefault="00CD6621" w:rsidP="002B712F">
      <w:pPr>
        <w:pStyle w:val="Default"/>
        <w:numPr>
          <w:ilvl w:val="0"/>
          <w:numId w:val="27"/>
        </w:numPr>
        <w:spacing w:line="480" w:lineRule="auto"/>
      </w:pPr>
      <w:r w:rsidRPr="00CD6621">
        <w:rPr>
          <w:i/>
        </w:rPr>
        <w:t>Baltimore County v. Priceline et al</w:t>
      </w:r>
      <w:r>
        <w:t xml:space="preserve">, No. MJG-10-1104 (In the United States District Court for the District of Maryland, March 1, 2011). </w:t>
      </w:r>
      <w:r w:rsidR="004A5870">
        <w:t xml:space="preserve"> The C</w:t>
      </w:r>
      <w:r>
        <w:t xml:space="preserve">ourt </w:t>
      </w:r>
      <w:r w:rsidR="003D708A">
        <w:t xml:space="preserve">did not dismiss most of the claims asserted by the </w:t>
      </w:r>
      <w:r w:rsidR="00013542">
        <w:t>County</w:t>
      </w:r>
      <w:r w:rsidR="003D708A">
        <w:t xml:space="preserve"> and </w:t>
      </w:r>
      <w:r>
        <w:t>held that the OTCs were obligated to</w:t>
      </w:r>
      <w:r w:rsidR="000F1617">
        <w:t xml:space="preserve"> collect a 2003 version of the C</w:t>
      </w:r>
      <w:r>
        <w:t>ounty’s transient occupancy tax ordinance that applied to “the room rental paid by a transient for sleeping accommodations” because the collection obligation applied to “a person receiving payment for the room rental.</w:t>
      </w:r>
      <w:r w:rsidR="003D708A">
        <w:t xml:space="preserve">”  The </w:t>
      </w:r>
      <w:r w:rsidR="000F1617">
        <w:t>C</w:t>
      </w:r>
      <w:r w:rsidR="003D708A">
        <w:t xml:space="preserve">ourt left open the question </w:t>
      </w:r>
      <w:r w:rsidR="00013542">
        <w:t>whether</w:t>
      </w:r>
      <w:r w:rsidR="003D708A">
        <w:t xml:space="preserve"> </w:t>
      </w:r>
      <w:r w:rsidR="00013542">
        <w:t>tax wa</w:t>
      </w:r>
      <w:r w:rsidR="003D708A">
        <w:t xml:space="preserve">s </w:t>
      </w:r>
      <w:r w:rsidR="00013542">
        <w:t xml:space="preserve">due on </w:t>
      </w:r>
      <w:r w:rsidR="003D708A">
        <w:t xml:space="preserve">the room rate charged by the hotel to the OTC, or the total amount charged </w:t>
      </w:r>
      <w:r w:rsidR="00013542">
        <w:t xml:space="preserve">to </w:t>
      </w:r>
      <w:r w:rsidR="003D708A">
        <w:t>the customer for the room, including any amount the OTC collected above and beyond the amount charged by the hotel for the room.</w:t>
      </w:r>
    </w:p>
    <w:p w:rsidR="002A388E" w:rsidRPr="004D5334" w:rsidRDefault="00A02B45" w:rsidP="00B3700D">
      <w:pPr>
        <w:pStyle w:val="Default"/>
        <w:numPr>
          <w:ilvl w:val="0"/>
          <w:numId w:val="27"/>
        </w:numPr>
        <w:spacing w:line="480" w:lineRule="auto"/>
        <w:rPr>
          <w:b/>
        </w:rPr>
      </w:pPr>
      <w:r w:rsidRPr="004D5334">
        <w:rPr>
          <w:i/>
        </w:rPr>
        <w:t xml:space="preserve">County of Lawrence v. Hotels.com LP, </w:t>
      </w:r>
      <w:r w:rsidR="001C65DC">
        <w:t xml:space="preserve">2011 </w:t>
      </w:r>
      <w:r>
        <w:t xml:space="preserve">Pa. Commw. </w:t>
      </w:r>
      <w:r w:rsidR="001C65DC">
        <w:t>Unpub. LEXIS 625 (</w:t>
      </w:r>
      <w:r>
        <w:t>August 3, 2011)</w:t>
      </w:r>
      <w:r w:rsidR="008E1F70">
        <w:t xml:space="preserve"> (holding that failure to </w:t>
      </w:r>
      <w:r>
        <w:t>exhaust administrative</w:t>
      </w:r>
      <w:r w:rsidR="008E1F70">
        <w:t xml:space="preserve"> remedies did not preclude </w:t>
      </w:r>
      <w:r>
        <w:t xml:space="preserve">the county </w:t>
      </w:r>
      <w:r w:rsidR="008E1F70">
        <w:t xml:space="preserve">from </w:t>
      </w:r>
      <w:r>
        <w:t>proceed</w:t>
      </w:r>
      <w:r w:rsidR="008E1F70">
        <w:t>ing</w:t>
      </w:r>
      <w:r>
        <w:t xml:space="preserve"> with its request for a declaratory judgment </w:t>
      </w:r>
      <w:r w:rsidR="008E1F70">
        <w:t xml:space="preserve">so a judge could </w:t>
      </w:r>
      <w:r>
        <w:t>determine if</w:t>
      </w:r>
      <w:r w:rsidR="008E1F70">
        <w:t xml:space="preserve"> the OTCs are subject to the applicable hotel tax ordinance).</w:t>
      </w:r>
    </w:p>
    <w:p w:rsidR="009F11BA" w:rsidRPr="009F11BA" w:rsidRDefault="004D5334" w:rsidP="00B3700D">
      <w:pPr>
        <w:pStyle w:val="Default"/>
        <w:numPr>
          <w:ilvl w:val="0"/>
          <w:numId w:val="27"/>
        </w:numPr>
        <w:spacing w:line="480" w:lineRule="auto"/>
        <w:rPr>
          <w:b/>
        </w:rPr>
      </w:pPr>
      <w:r w:rsidRPr="005F71F5">
        <w:rPr>
          <w:i/>
        </w:rPr>
        <w:t>District of Columbia v. Expedia Inc.</w:t>
      </w:r>
      <w:r w:rsidRPr="005F71F5">
        <w:t>, D.C. Super. Ct., No 2011 CA 002117 B (October 12, 2011) (ruling that although it made no findings of fact with respect to the ultimate</w:t>
      </w:r>
      <w:r>
        <w:t xml:space="preserve"> </w:t>
      </w:r>
      <w:r>
        <w:lastRenderedPageBreak/>
        <w:t xml:space="preserve">resolution </w:t>
      </w:r>
      <w:r w:rsidR="00D00805">
        <w:t>of</w:t>
      </w:r>
      <w:r>
        <w:t xml:space="preserve"> the case, and although the relevant law before it was ambiguous</w:t>
      </w:r>
      <w:r w:rsidR="00D00805">
        <w:t xml:space="preserve">, </w:t>
      </w:r>
      <w:r>
        <w:t xml:space="preserve">the law was reasonably interpreted to allow </w:t>
      </w:r>
      <w:r w:rsidR="00D00805">
        <w:t xml:space="preserve">the District’s </w:t>
      </w:r>
      <w:r>
        <w:t>claims to proceed as to why the OTCs must collect and remit tax on the full retail room priced charged to customers</w:t>
      </w:r>
      <w:r w:rsidR="00D00805" w:rsidRPr="00D00805">
        <w:t xml:space="preserve"> </w:t>
      </w:r>
      <w:r w:rsidR="00D00805">
        <w:t>both before and after an April 8, 2011 law change)</w:t>
      </w:r>
      <w:r>
        <w:t>.</w:t>
      </w:r>
    </w:p>
    <w:p w:rsidR="004D5334" w:rsidRPr="004D5334" w:rsidRDefault="009F11BA" w:rsidP="00B3700D">
      <w:pPr>
        <w:pStyle w:val="Default"/>
        <w:numPr>
          <w:ilvl w:val="0"/>
          <w:numId w:val="27"/>
        </w:numPr>
        <w:spacing w:line="480" w:lineRule="auto"/>
        <w:rPr>
          <w:b/>
        </w:rPr>
      </w:pPr>
      <w:r>
        <w:t xml:space="preserve">In </w:t>
      </w:r>
      <w:r w:rsidRPr="007556D4">
        <w:rPr>
          <w:i/>
        </w:rPr>
        <w:t>Montana Department of Revenue v. Priceline.com</w:t>
      </w:r>
      <w:r>
        <w:t xml:space="preserve">, </w:t>
      </w:r>
      <w:r w:rsidR="007556D4">
        <w:t xml:space="preserve">Mont. Dist. Ct., No. CDV-2010-1056, </w:t>
      </w:r>
      <w:r>
        <w:t xml:space="preserve">a federal district court </w:t>
      </w:r>
      <w:r w:rsidR="007556D4">
        <w:t xml:space="preserve">on December 1, 2011 </w:t>
      </w:r>
      <w:r>
        <w:t xml:space="preserve">denied the OTC’s motion to dismiss </w:t>
      </w:r>
      <w:r w:rsidR="007556D4">
        <w:t xml:space="preserve">after determining that there were questions of fact that needed to be developed through the discovery process and that waiting to proceed when the parties had a chance to file motions for summary judgment was more appropriate.   </w:t>
      </w:r>
      <w:r w:rsidR="004D5334">
        <w:t xml:space="preserve"> </w:t>
      </w:r>
    </w:p>
    <w:p w:rsidR="004D5334" w:rsidRDefault="004D5334" w:rsidP="00B3700D">
      <w:pPr>
        <w:pStyle w:val="Default"/>
        <w:spacing w:line="480" w:lineRule="auto"/>
        <w:rPr>
          <w:b/>
        </w:rPr>
      </w:pPr>
    </w:p>
    <w:p w:rsidR="00B3700D" w:rsidRDefault="00B3700D" w:rsidP="00B3700D">
      <w:pPr>
        <w:pStyle w:val="Default"/>
        <w:spacing w:line="480" w:lineRule="auto"/>
        <w:rPr>
          <w:b/>
        </w:rPr>
      </w:pPr>
      <w:r w:rsidRPr="00B3700D">
        <w:rPr>
          <w:b/>
        </w:rPr>
        <w:t>B.  Decisions Granting OTCs' Motions to Dismiss</w:t>
      </w:r>
    </w:p>
    <w:p w:rsidR="004F0BBF" w:rsidRPr="004F0BBF" w:rsidRDefault="00B3700D" w:rsidP="002B712F">
      <w:pPr>
        <w:pStyle w:val="Default"/>
        <w:numPr>
          <w:ilvl w:val="0"/>
          <w:numId w:val="29"/>
        </w:numPr>
        <w:spacing w:line="480" w:lineRule="auto"/>
      </w:pPr>
      <w:r w:rsidRPr="00102394">
        <w:rPr>
          <w:i/>
        </w:rPr>
        <w:t xml:space="preserve">Louisville/Jefferson County Metro Gov't v. Hotels.com., </w:t>
      </w:r>
      <w:r>
        <w:t xml:space="preserve">2008 U.S. Dist. LEXIS </w:t>
      </w:r>
      <w:r w:rsidR="004F0BBF" w:rsidRPr="004F0BBF">
        <w:t>76415 (W.D. Ky. Sept. 26,</w:t>
      </w:r>
      <w:r w:rsidR="002B712F">
        <w:t xml:space="preserve"> </w:t>
      </w:r>
      <w:r w:rsidR="004F0BBF" w:rsidRPr="004F0BBF">
        <w:t xml:space="preserve">2008), </w:t>
      </w:r>
      <w:r w:rsidR="004F0BBF" w:rsidRPr="00102394">
        <w:rPr>
          <w:i/>
        </w:rPr>
        <w:t>aff'd</w:t>
      </w:r>
      <w:r w:rsidR="004F0BBF" w:rsidRPr="004F0BBF">
        <w:t>, 2009 U.S. App. LEXIS 28189 (6th C</w:t>
      </w:r>
      <w:r w:rsidR="00102394">
        <w:t>ir.</w:t>
      </w:r>
      <w:r w:rsidR="004F0BBF" w:rsidRPr="004F0BBF">
        <w:t xml:space="preserve"> Dec. 22, 2009) (</w:t>
      </w:r>
      <w:r w:rsidR="007162AA">
        <w:t>hold</w:t>
      </w:r>
      <w:r>
        <w:t>ing that the applicable o</w:t>
      </w:r>
      <w:r w:rsidR="004F0BBF" w:rsidRPr="004F0BBF">
        <w:t>rdinance only applies to hotels, motels, or similar accommodations businesses which have ownership of</w:t>
      </w:r>
      <w:r>
        <w:t xml:space="preserve"> </w:t>
      </w:r>
      <w:r w:rsidR="004F0BBF" w:rsidRPr="004F0BBF">
        <w:t xml:space="preserve">or physical control over hotel rooms). </w:t>
      </w:r>
    </w:p>
    <w:p w:rsidR="004F0BBF" w:rsidRPr="004F0BBF" w:rsidRDefault="004F0BBF" w:rsidP="002B712F">
      <w:pPr>
        <w:pStyle w:val="Default"/>
        <w:numPr>
          <w:ilvl w:val="0"/>
          <w:numId w:val="29"/>
        </w:numPr>
        <w:spacing w:line="480" w:lineRule="auto"/>
      </w:pPr>
      <w:r w:rsidRPr="00102394">
        <w:rPr>
          <w:i/>
        </w:rPr>
        <w:t xml:space="preserve">Pitt County v. </w:t>
      </w:r>
      <w:r w:rsidRPr="00102394">
        <w:rPr>
          <w:i/>
          <w:iCs/>
        </w:rPr>
        <w:t xml:space="preserve">Hotels.com, </w:t>
      </w:r>
      <w:r w:rsidRPr="00102394">
        <w:rPr>
          <w:i/>
        </w:rPr>
        <w:t>et a</w:t>
      </w:r>
      <w:r w:rsidR="00B3700D" w:rsidRPr="00102394">
        <w:rPr>
          <w:i/>
        </w:rPr>
        <w:t>l</w:t>
      </w:r>
      <w:r w:rsidRPr="00B3700D">
        <w:t>, No.</w:t>
      </w:r>
      <w:r w:rsidRPr="004F0BBF">
        <w:t xml:space="preserve"> 4:06-cv-30-BO (E.D.N.C. Aug. 12, 2007), </w:t>
      </w:r>
      <w:r w:rsidRPr="00102394">
        <w:rPr>
          <w:i/>
        </w:rPr>
        <w:t>aff'd</w:t>
      </w:r>
      <w:r w:rsidRPr="004F0BBF">
        <w:t>, 553 F.3d 308 (4th Cir. Jan. 14,</w:t>
      </w:r>
      <w:r w:rsidR="00B3700D">
        <w:t xml:space="preserve"> </w:t>
      </w:r>
      <w:r w:rsidRPr="004F0BBF">
        <w:t>2009) (</w:t>
      </w:r>
      <w:r w:rsidR="007162AA">
        <w:t>hold</w:t>
      </w:r>
      <w:r w:rsidR="00B3700D">
        <w:t>ing that the applicable o</w:t>
      </w:r>
      <w:r w:rsidRPr="004F0BBF">
        <w:t xml:space="preserve">rdinance </w:t>
      </w:r>
      <w:r w:rsidRPr="00B3700D">
        <w:rPr>
          <w:iCs/>
        </w:rPr>
        <w:t>only</w:t>
      </w:r>
      <w:r w:rsidRPr="004F0BBF">
        <w:rPr>
          <w:i/>
          <w:iCs/>
        </w:rPr>
        <w:t xml:space="preserve"> </w:t>
      </w:r>
      <w:r w:rsidRPr="004F0BBF">
        <w:t xml:space="preserve">applies to </w:t>
      </w:r>
      <w:r w:rsidR="00B3700D">
        <w:t xml:space="preserve">a </w:t>
      </w:r>
      <w:r w:rsidRPr="004F0BBF">
        <w:t xml:space="preserve">hotel, motel, or similar type of business which physically provides hotel rooms). </w:t>
      </w:r>
    </w:p>
    <w:p w:rsidR="004C3892" w:rsidRDefault="004F0BBF" w:rsidP="002B712F">
      <w:pPr>
        <w:pStyle w:val="Default"/>
        <w:numPr>
          <w:ilvl w:val="0"/>
          <w:numId w:val="29"/>
        </w:numPr>
        <w:spacing w:line="480" w:lineRule="auto"/>
      </w:pPr>
      <w:r w:rsidRPr="00102394">
        <w:rPr>
          <w:i/>
        </w:rPr>
        <w:t>City of Orange, Texas v. Hotels.com.</w:t>
      </w:r>
      <w:r w:rsidR="00102394">
        <w:t>, Civil Action No.1</w:t>
      </w:r>
      <w:r w:rsidRPr="004F0BBF">
        <w:t>:06-cv-413 (E.D. Tex. Sept. 5,</w:t>
      </w:r>
      <w:r w:rsidR="00102394">
        <w:t xml:space="preserve"> </w:t>
      </w:r>
      <w:r w:rsidRPr="004F0BBF">
        <w:t>2007) (</w:t>
      </w:r>
      <w:r w:rsidR="007162AA">
        <w:t>hold</w:t>
      </w:r>
      <w:r w:rsidR="00B3700D">
        <w:t>ing that the applicable o</w:t>
      </w:r>
      <w:r w:rsidRPr="004F0BBF">
        <w:t xml:space="preserve">rdinance </w:t>
      </w:r>
      <w:r w:rsidRPr="00B3700D">
        <w:rPr>
          <w:iCs/>
        </w:rPr>
        <w:t>only</w:t>
      </w:r>
      <w:r w:rsidRPr="004F0BBF">
        <w:rPr>
          <w:i/>
          <w:iCs/>
        </w:rPr>
        <w:t xml:space="preserve"> </w:t>
      </w:r>
      <w:r w:rsidRPr="004F0BBF">
        <w:t>applies to hotels or motels).</w:t>
      </w:r>
    </w:p>
    <w:p w:rsidR="004F0BBF" w:rsidRDefault="004F0BBF" w:rsidP="002B712F">
      <w:pPr>
        <w:pStyle w:val="Default"/>
        <w:numPr>
          <w:ilvl w:val="0"/>
          <w:numId w:val="29"/>
        </w:numPr>
        <w:spacing w:line="480" w:lineRule="auto"/>
        <w:rPr>
          <w:color w:val="auto"/>
        </w:rPr>
      </w:pPr>
      <w:r w:rsidRPr="004F0BBF">
        <w:t xml:space="preserve"> </w:t>
      </w:r>
      <w:r w:rsidR="004C3892" w:rsidRPr="00AD044A">
        <w:rPr>
          <w:i/>
        </w:rPr>
        <w:t>City of Findlay v. Hotels.com, et al.</w:t>
      </w:r>
      <w:r w:rsidR="004C3892" w:rsidRPr="004F0BBF">
        <w:t>, 441 F. Supp. 2d</w:t>
      </w:r>
      <w:r w:rsidR="004C3892">
        <w:t xml:space="preserve"> 855 (N.D. Ohio, July 26, 2006) (holding that the OTCs had no direct obligation to collect or remit taxes under the </w:t>
      </w:r>
      <w:r w:rsidR="004C3892">
        <w:lastRenderedPageBreak/>
        <w:t>controlling ordinance, but leaving open the question whether the OTCs collected tax that was not remitted)</w:t>
      </w:r>
      <w:r w:rsidR="00E157AD">
        <w:t xml:space="preserve">.  On November 18, 2010, the court </w:t>
      </w:r>
      <w:r w:rsidR="00323AB9">
        <w:t xml:space="preserve">further </w:t>
      </w:r>
      <w:r w:rsidR="00E157AD">
        <w:t xml:space="preserve">held </w:t>
      </w:r>
      <w:r w:rsidR="00E157AD" w:rsidRPr="00E157AD">
        <w:rPr>
          <w:color w:val="auto"/>
        </w:rPr>
        <w:t xml:space="preserve">that there was no evidence that the OTCs </w:t>
      </w:r>
      <w:r w:rsidR="00E157AD">
        <w:rPr>
          <w:color w:val="auto"/>
        </w:rPr>
        <w:t>retained</w:t>
      </w:r>
      <w:r w:rsidR="00E157AD" w:rsidRPr="00E157AD">
        <w:rPr>
          <w:color w:val="auto"/>
        </w:rPr>
        <w:t xml:space="preserve"> money that had been labeled as taxes to consumers</w:t>
      </w:r>
      <w:r w:rsidR="00E157AD">
        <w:rPr>
          <w:color w:val="auto"/>
        </w:rPr>
        <w:t xml:space="preserve"> and, therefore, under controlling authorities, there was no finding of tax collected but not remitted</w:t>
      </w:r>
      <w:r w:rsidR="00E157AD" w:rsidRPr="00E157AD">
        <w:rPr>
          <w:color w:val="auto"/>
        </w:rPr>
        <w:t>.</w:t>
      </w:r>
      <w:r w:rsidR="00323AB9">
        <w:rPr>
          <w:color w:val="auto"/>
        </w:rPr>
        <w:t xml:space="preserve">  </w:t>
      </w:r>
      <w:r w:rsidR="00323AB9" w:rsidRPr="00323AB9">
        <w:rPr>
          <w:i/>
          <w:color w:val="auto"/>
        </w:rPr>
        <w:t>See</w:t>
      </w:r>
      <w:r w:rsidR="00323AB9">
        <w:rPr>
          <w:color w:val="auto"/>
        </w:rPr>
        <w:t xml:space="preserve"> Case No. 3:05 CV 7443, 2010 U.S. Dist. LEXIS 122460.</w:t>
      </w:r>
    </w:p>
    <w:p w:rsidR="001213E2" w:rsidRDefault="000B2386" w:rsidP="002B712F">
      <w:pPr>
        <w:pStyle w:val="Default"/>
        <w:numPr>
          <w:ilvl w:val="0"/>
          <w:numId w:val="29"/>
        </w:numPr>
        <w:spacing w:line="480" w:lineRule="auto"/>
        <w:rPr>
          <w:color w:val="auto"/>
        </w:rPr>
      </w:pPr>
      <w:r w:rsidRPr="009D0FE5">
        <w:rPr>
          <w:i/>
        </w:rPr>
        <w:t>Hamilton County, Ohio v. Hotels.com, et al.</w:t>
      </w:r>
      <w:r>
        <w:t xml:space="preserve">, </w:t>
      </w:r>
      <w:r w:rsidR="00AD334F">
        <w:t xml:space="preserve">2011 U.S. Dist LEXIS 83520 </w:t>
      </w:r>
      <w:r>
        <w:t xml:space="preserve">(N.D. Ohio, July 29, 2011) (holding that the controlling authorities and analysis in </w:t>
      </w:r>
      <w:r w:rsidRPr="009D0FE5">
        <w:rPr>
          <w:i/>
        </w:rPr>
        <w:t>City of Findlay</w:t>
      </w:r>
      <w:r w:rsidR="00AD334F">
        <w:rPr>
          <w:i/>
        </w:rPr>
        <w:t xml:space="preserve">, </w:t>
      </w:r>
      <w:r w:rsidR="00AD334F">
        <w:t xml:space="preserve">see </w:t>
      </w:r>
      <w:r>
        <w:t>case #4</w:t>
      </w:r>
      <w:r w:rsidR="00AD334F">
        <w:t>,</w:t>
      </w:r>
      <w:r>
        <w:t xml:space="preserve"> was applicable </w:t>
      </w:r>
      <w:r w:rsidR="009D0FE5">
        <w:t>to this matter and ordering that the case be dismissed).</w:t>
      </w:r>
    </w:p>
    <w:p w:rsidR="00FF3C92" w:rsidRPr="00D7491D" w:rsidRDefault="00FF3C92" w:rsidP="002B712F">
      <w:pPr>
        <w:pStyle w:val="Default"/>
        <w:numPr>
          <w:ilvl w:val="0"/>
          <w:numId w:val="29"/>
        </w:numPr>
        <w:spacing w:line="480" w:lineRule="auto"/>
        <w:rPr>
          <w:color w:val="auto"/>
        </w:rPr>
      </w:pPr>
      <w:r w:rsidRPr="00FF3C92">
        <w:rPr>
          <w:i/>
        </w:rPr>
        <w:t xml:space="preserve">State </w:t>
      </w:r>
      <w:r w:rsidR="00216721">
        <w:rPr>
          <w:i/>
        </w:rPr>
        <w:t xml:space="preserve">of Oklahoma </w:t>
      </w:r>
      <w:r w:rsidRPr="00FF3C92">
        <w:rPr>
          <w:i/>
        </w:rPr>
        <w:t>v. Priceline.com, Inc.</w:t>
      </w:r>
      <w:r>
        <w:t>, Okla. Dist. Ct., No. CJ-2010-8952 (decision from the bench March 11, 2011) (dismissing with prejudice a claim that OTCs were obligated to collect the state’s sales tax imposed on the gross receipts of gross proceeds of each sale of the service of furnishing rooms by a hotel, apartment hotel, public rooming house, motel, public lodging house, or tourist camp becau</w:t>
      </w:r>
      <w:r w:rsidR="003058C6">
        <w:t>se such statutory language indicates the obligation to collect hotel taxes is only on “brick and mortar” entities)</w:t>
      </w:r>
      <w:r>
        <w:t xml:space="preserve">.  </w:t>
      </w:r>
    </w:p>
    <w:p w:rsidR="00195EBF" w:rsidRDefault="00D7491D" w:rsidP="00D7491D">
      <w:pPr>
        <w:pStyle w:val="Default"/>
        <w:numPr>
          <w:ilvl w:val="0"/>
          <w:numId w:val="29"/>
        </w:numPr>
        <w:spacing w:line="480" w:lineRule="auto"/>
      </w:pPr>
      <w:r w:rsidRPr="00F07B6C">
        <w:rPr>
          <w:i/>
        </w:rPr>
        <w:t>City of Santa Monica v. Expedia, Inc.</w:t>
      </w:r>
      <w:r>
        <w:t>, Los Angeles Superior Court – West District, Case No. S</w:t>
      </w:r>
      <w:r w:rsidR="004A5870">
        <w:t>C108568 (March 16, 2011).  The C</w:t>
      </w:r>
      <w:r>
        <w:t xml:space="preserve">ourt entered an opinion and order on the joint demurrer of the OTCs, which is in the nature of a motion to dismiss, to all causes of action asserted because the transient occupancy tax as defined by the Santa Monica Municipal Code only applied to </w:t>
      </w:r>
      <w:r w:rsidR="00CD7D8A">
        <w:t xml:space="preserve">the </w:t>
      </w:r>
      <w:r>
        <w:t xml:space="preserve">amount paid </w:t>
      </w:r>
      <w:r w:rsidRPr="004A5870">
        <w:t>to the hotel</w:t>
      </w:r>
      <w:r>
        <w:t xml:space="preserve"> for room occupancy</w:t>
      </w:r>
      <w:r w:rsidR="00CD7D8A">
        <w:t>, regardless if a different amount was paid to an intermediary</w:t>
      </w:r>
      <w:r>
        <w:t>.</w:t>
      </w:r>
    </w:p>
    <w:p w:rsidR="00D7491D" w:rsidRPr="002A388E" w:rsidRDefault="00195EBF" w:rsidP="00D7491D">
      <w:pPr>
        <w:pStyle w:val="Default"/>
        <w:numPr>
          <w:ilvl w:val="0"/>
          <w:numId w:val="29"/>
        </w:numPr>
        <w:spacing w:line="480" w:lineRule="auto"/>
      </w:pPr>
      <w:r w:rsidRPr="001664AD">
        <w:rPr>
          <w:i/>
        </w:rPr>
        <w:t>St. Louis County v. Prestige Travel, Inc.</w:t>
      </w:r>
      <w:r w:rsidRPr="001664AD">
        <w:t xml:space="preserve">, </w:t>
      </w:r>
      <w:r w:rsidR="001664AD" w:rsidRPr="001664AD">
        <w:t xml:space="preserve">2011 Mo. LEXIS 198 (Supreme Court of Missouri, June </w:t>
      </w:r>
      <w:r w:rsidRPr="001664AD">
        <w:t>28</w:t>
      </w:r>
      <w:r w:rsidR="001664AD" w:rsidRPr="001664AD">
        <w:t>, 20</w:t>
      </w:r>
      <w:r w:rsidRPr="001664AD">
        <w:t>11)</w:t>
      </w:r>
      <w:r>
        <w:t xml:space="preserve"> (holding that </w:t>
      </w:r>
      <w:r w:rsidR="00AE489E">
        <w:t xml:space="preserve">only operators of hotels and similar establishments were responsible for collecting tax and that OTCs were not operators under the controlling </w:t>
      </w:r>
      <w:r w:rsidR="00AE489E">
        <w:lastRenderedPageBreak/>
        <w:t>authorities; also noting that the Missouri legislature passed a law during the pendency of the case that was intended to clarif</w:t>
      </w:r>
      <w:r w:rsidR="001664AD">
        <w:t>y</w:t>
      </w:r>
      <w:r w:rsidR="00AE489E">
        <w:t xml:space="preserve"> existing law that tax is only due on amounts actually received by an operator and </w:t>
      </w:r>
      <w:r w:rsidR="001664AD">
        <w:t>not</w:t>
      </w:r>
      <w:r w:rsidR="00AE489E">
        <w:t xml:space="preserve"> to amounts charged by travel agents or intermediaries</w:t>
      </w:r>
      <w:r w:rsidR="001664AD">
        <w:t xml:space="preserve"> as fees for their services</w:t>
      </w:r>
      <w:r w:rsidR="00AE489E">
        <w:t>).</w:t>
      </w:r>
      <w:r w:rsidR="00D7491D">
        <w:t xml:space="preserve">   </w:t>
      </w:r>
    </w:p>
    <w:p w:rsidR="002A388E" w:rsidRPr="00E157AD" w:rsidRDefault="002A388E" w:rsidP="002A388E">
      <w:pPr>
        <w:pStyle w:val="Default"/>
        <w:spacing w:line="480" w:lineRule="auto"/>
        <w:ind w:left="720"/>
        <w:rPr>
          <w:color w:val="auto"/>
        </w:rPr>
      </w:pPr>
    </w:p>
    <w:p w:rsidR="004F0BBF" w:rsidRPr="00293F3A" w:rsidRDefault="008F5950" w:rsidP="008F5950">
      <w:pPr>
        <w:pStyle w:val="CM12"/>
        <w:spacing w:line="480" w:lineRule="auto"/>
        <w:jc w:val="center"/>
        <w:rPr>
          <w:b/>
          <w:color w:val="000000"/>
          <w:u w:val="single"/>
        </w:rPr>
      </w:pPr>
      <w:r w:rsidRPr="00293F3A">
        <w:rPr>
          <w:b/>
          <w:color w:val="000000"/>
          <w:u w:val="single"/>
        </w:rPr>
        <w:t>III.  Deceptive Trade Practices</w:t>
      </w:r>
      <w:r w:rsidR="00552EFB">
        <w:rPr>
          <w:b/>
          <w:color w:val="000000"/>
          <w:u w:val="single"/>
        </w:rPr>
        <w:t xml:space="preserve"> &amp; Similar Claims</w:t>
      </w:r>
    </w:p>
    <w:p w:rsidR="00B14AB8" w:rsidRDefault="008F5950" w:rsidP="00B14AB8">
      <w:pPr>
        <w:pStyle w:val="Default"/>
        <w:numPr>
          <w:ilvl w:val="0"/>
          <w:numId w:val="30"/>
        </w:numPr>
        <w:spacing w:line="480" w:lineRule="auto"/>
      </w:pPr>
      <w:r w:rsidRPr="00293F3A">
        <w:rPr>
          <w:i/>
        </w:rPr>
        <w:t>Christe, et al v. Hotels.com, et al</w:t>
      </w:r>
      <w:r>
        <w:t>, 2010 U.S. Dist LEXIS 120769 (S.D. New York, Nov. 15, 2010</w:t>
      </w:r>
      <w:r w:rsidR="00293F3A">
        <w:t>).  In response to motions to dismiss for failure to state a claim filed by the OTCs, the court dismissed most, but not all, claims of statutory deceptive trade practices and common law protections against conversion, breach of contract, and breach of fiduciary duty</w:t>
      </w:r>
      <w:r w:rsidR="00EB0F8C">
        <w:t>.  The court also transf</w:t>
      </w:r>
      <w:r w:rsidR="00293F3A">
        <w:t>er</w:t>
      </w:r>
      <w:r w:rsidR="00EB0F8C">
        <w:t>red</w:t>
      </w:r>
      <w:r w:rsidR="00293F3A">
        <w:t xml:space="preserve"> some claims to other courts for resolution.</w:t>
      </w:r>
    </w:p>
    <w:p w:rsidR="00CD2FDC" w:rsidRDefault="00EB0F8C" w:rsidP="00B14AB8">
      <w:pPr>
        <w:pStyle w:val="Default"/>
        <w:numPr>
          <w:ilvl w:val="0"/>
          <w:numId w:val="30"/>
        </w:numPr>
        <w:spacing w:line="480" w:lineRule="auto"/>
      </w:pPr>
      <w:r w:rsidRPr="00B14AB8">
        <w:rPr>
          <w:i/>
        </w:rPr>
        <w:t>In re:  Expedia Hotel Tax and Fees Litigation</w:t>
      </w:r>
      <w:r w:rsidR="0049044B">
        <w:t>, Case No: 05-2-02060-1 SEA, Order on Cross Motions for Summary Judgment</w:t>
      </w:r>
      <w:r>
        <w:t xml:space="preserve">.  On May 28, 2009, a Washington State judge found that Expedia breached its contract with customers </w:t>
      </w:r>
      <w:r w:rsidR="00FB0FAC">
        <w:t>between 2003 and 2006 by charging service fees under false pretenses and order</w:t>
      </w:r>
      <w:r w:rsidR="0049044B">
        <w:t>ed</w:t>
      </w:r>
      <w:r w:rsidR="00FB0FAC">
        <w:t xml:space="preserve"> a return of over $184 million in such fees.  </w:t>
      </w:r>
      <w:r w:rsidR="00F779BD">
        <w:t>The court found that</w:t>
      </w:r>
      <w:r w:rsidR="0049044B">
        <w:t xml:space="preserve"> </w:t>
      </w:r>
      <w:r w:rsidR="00F779BD">
        <w:t xml:space="preserve">profits, not costs, were the true subject of the fees charged by Expedia.  </w:t>
      </w:r>
      <w:r w:rsidR="00FB0FAC">
        <w:t xml:space="preserve">The case has been settled.   </w:t>
      </w:r>
      <w:r>
        <w:t xml:space="preserve"> </w:t>
      </w:r>
    </w:p>
    <w:p w:rsidR="000A4BDC" w:rsidRDefault="000A4BDC" w:rsidP="000A4BDC">
      <w:pPr>
        <w:pStyle w:val="Default"/>
        <w:spacing w:line="480" w:lineRule="auto"/>
      </w:pPr>
    </w:p>
    <w:p w:rsidR="000A4BDC" w:rsidRPr="00700EB1" w:rsidRDefault="000A4BDC" w:rsidP="000A4BDC">
      <w:pPr>
        <w:pStyle w:val="Default"/>
        <w:spacing w:line="480" w:lineRule="auto"/>
        <w:jc w:val="center"/>
        <w:rPr>
          <w:b/>
          <w:u w:val="single"/>
        </w:rPr>
      </w:pPr>
      <w:r w:rsidRPr="00700EB1">
        <w:rPr>
          <w:b/>
          <w:u w:val="single"/>
        </w:rPr>
        <w:t>IV.  Settlements</w:t>
      </w:r>
    </w:p>
    <w:p w:rsidR="000A4BDC" w:rsidRDefault="000A4BDC" w:rsidP="000A4BDC">
      <w:pPr>
        <w:pStyle w:val="Default"/>
        <w:spacing w:line="480" w:lineRule="auto"/>
        <w:ind w:firstLine="720"/>
      </w:pPr>
      <w:r>
        <w:t xml:space="preserve">This section identifies cases in which the </w:t>
      </w:r>
      <w:r w:rsidR="00C328C3">
        <w:t>government entities</w:t>
      </w:r>
      <w:r>
        <w:t xml:space="preserve"> and OTCs decided to settle and there were no other significant event</w:t>
      </w:r>
      <w:r w:rsidR="00717285">
        <w:t>s</w:t>
      </w:r>
      <w:r>
        <w:t xml:space="preserve"> reported</w:t>
      </w:r>
      <w:r w:rsidR="00717285">
        <w:t xml:space="preserve"> </w:t>
      </w:r>
      <w:r w:rsidR="00C328C3">
        <w:t xml:space="preserve">after the cases </w:t>
      </w:r>
      <w:r w:rsidR="00717285">
        <w:t>were originally filed</w:t>
      </w:r>
      <w:r>
        <w:t>.</w:t>
      </w:r>
    </w:p>
    <w:p w:rsidR="00CA44B8" w:rsidRDefault="000A4BDC" w:rsidP="000A4BDC">
      <w:pPr>
        <w:pStyle w:val="Default"/>
        <w:numPr>
          <w:ilvl w:val="0"/>
          <w:numId w:val="33"/>
        </w:numPr>
        <w:spacing w:line="480" w:lineRule="auto"/>
      </w:pPr>
      <w:r>
        <w:t>In Michigan, the commission</w:t>
      </w:r>
      <w:r w:rsidR="00717285">
        <w:t xml:space="preserve">er </w:t>
      </w:r>
      <w:r>
        <w:t xml:space="preserve">of four counties – Genessee, Calhoun, Ingham, and Saginaw – all voted to approve a settlement in which </w:t>
      </w:r>
      <w:r w:rsidR="00610C52">
        <w:t xml:space="preserve">various </w:t>
      </w:r>
      <w:r>
        <w:t xml:space="preserve">OTCs agreed to pay a </w:t>
      </w:r>
      <w:r>
        <w:lastRenderedPageBreak/>
        <w:t>total of $350,000 to the four</w:t>
      </w:r>
      <w:r w:rsidR="00717285">
        <w:t xml:space="preserve"> counties in exchange for the counties agreeing not pursue the OTCs for disputed hotel taxes between </w:t>
      </w:r>
      <w:r w:rsidR="007A7399">
        <w:t>October 2011, wh</w:t>
      </w:r>
      <w:r w:rsidR="006F5E32">
        <w:t>en</w:t>
      </w:r>
      <w:r w:rsidR="007A7399">
        <w:t xml:space="preserve"> the agreement was signed, a</w:t>
      </w:r>
      <w:r w:rsidR="00717285">
        <w:t>nd June 30, 2015.  The agreement included provisions that the counties would not issue any press release</w:t>
      </w:r>
      <w:r w:rsidR="007A7399">
        <w:t xml:space="preserve"> or </w:t>
      </w:r>
      <w:r w:rsidR="00717285">
        <w:t>hold a</w:t>
      </w:r>
      <w:r w:rsidR="007A7399">
        <w:t>ny</w:t>
      </w:r>
      <w:r w:rsidR="00717285">
        <w:t xml:space="preserve"> press conference</w:t>
      </w:r>
      <w:r w:rsidR="007A7399">
        <w:t xml:space="preserve"> about the agreement</w:t>
      </w:r>
      <w:r w:rsidR="00717285">
        <w:t xml:space="preserve">, would instruct employees not to publically comment on the settlement, </w:t>
      </w:r>
      <w:r w:rsidR="00F1361A">
        <w:t>and would notify counsel for the OTCs if any public record request was filed</w:t>
      </w:r>
      <w:r w:rsidR="00091862">
        <w:t xml:space="preserve"> requesting a copy of the agreement</w:t>
      </w:r>
      <w:r w:rsidR="00F1361A">
        <w:t>.  BNA obtained a copy of the agreement and reported on it after filing a Freedom of Information Act request with Saginaw County in November 2011.</w:t>
      </w:r>
    </w:p>
    <w:p w:rsidR="003B5E8A" w:rsidRDefault="00F15F7B" w:rsidP="000A4BDC">
      <w:pPr>
        <w:pStyle w:val="Default"/>
        <w:numPr>
          <w:ilvl w:val="0"/>
          <w:numId w:val="33"/>
        </w:numPr>
        <w:spacing w:line="480" w:lineRule="auto"/>
      </w:pPr>
      <w:r>
        <w:t xml:space="preserve">Palm Beach County, Florida is reported to have reached a settlement </w:t>
      </w:r>
      <w:r w:rsidR="00B56C21">
        <w:t xml:space="preserve">in which </w:t>
      </w:r>
      <w:r>
        <w:t xml:space="preserve">OTCs </w:t>
      </w:r>
      <w:r w:rsidR="00F21E75">
        <w:t xml:space="preserve">are </w:t>
      </w:r>
      <w:r w:rsidR="00B56C21">
        <w:t>agree</w:t>
      </w:r>
      <w:r w:rsidR="00F21E75">
        <w:t>ing</w:t>
      </w:r>
      <w:r w:rsidR="00B56C21">
        <w:t xml:space="preserve"> </w:t>
      </w:r>
      <w:r>
        <w:t xml:space="preserve">to pay nearly $2 million, with no admission of any wrongdoing and no requirement that the OTCs change the way taxes due </w:t>
      </w:r>
      <w:r w:rsidR="00F21E75">
        <w:t xml:space="preserve">on hotel rooms </w:t>
      </w:r>
      <w:r>
        <w:t>are computed.  The agreement gives the Florida Legislature two years to decide the issue, or the County will proceed with a lawsuit</w:t>
      </w:r>
      <w:r w:rsidR="00B56C21">
        <w:t xml:space="preserve"> to determine if the OTCs must collect tax on amounts they consider</w:t>
      </w:r>
      <w:r w:rsidR="003C4BF3">
        <w:t xml:space="preserve"> to be</w:t>
      </w:r>
      <w:r w:rsidR="00B56C21">
        <w:t xml:space="preserve"> nontaxable service fees</w:t>
      </w:r>
      <w:r>
        <w:t xml:space="preserve">.  </w:t>
      </w:r>
      <w:r w:rsidRPr="00F15F7B">
        <w:rPr>
          <w:i/>
        </w:rPr>
        <w:t>See</w:t>
      </w:r>
      <w:r>
        <w:t xml:space="preserve"> “Online travel companies to pay nearly $2 million to Palm Beach County in hotel tax dispute,” by Doreen Hemlock, </w:t>
      </w:r>
      <w:r w:rsidRPr="00F15F7B">
        <w:rPr>
          <w:i/>
        </w:rPr>
        <w:t>Sun Sentinel</w:t>
      </w:r>
      <w:r>
        <w:t>, January 30, 2012.</w:t>
      </w:r>
    </w:p>
    <w:p w:rsidR="003B5E8A" w:rsidRDefault="00F15F7B" w:rsidP="003B5E8A">
      <w:pPr>
        <w:pStyle w:val="Default"/>
        <w:numPr>
          <w:ilvl w:val="0"/>
          <w:numId w:val="33"/>
        </w:numPr>
        <w:spacing w:line="480" w:lineRule="auto"/>
      </w:pPr>
      <w:r>
        <w:t xml:space="preserve"> </w:t>
      </w:r>
      <w:r w:rsidR="003B5E8A">
        <w:t xml:space="preserve">In 2008 and 2009, the Manager of the Tourist Development Tax Section of Broward County, Florida upheld assessments against </w:t>
      </w:r>
      <w:r w:rsidR="009032D2">
        <w:t xml:space="preserve">Expedia, Priceline, Orbitz, and Travelocity </w:t>
      </w:r>
      <w:r w:rsidR="003B5E8A">
        <w:t xml:space="preserve">for over $6 million.  The OTCs posted bonds and filed suit in Leon County, Florida to challenge the award.  On </w:t>
      </w:r>
      <w:r w:rsidR="009032D2">
        <w:t xml:space="preserve">or about </w:t>
      </w:r>
      <w:r w:rsidR="003B5E8A">
        <w:t>February 28, 2012, the county approved</w:t>
      </w:r>
      <w:r w:rsidR="00DD116C">
        <w:t xml:space="preserve"> a</w:t>
      </w:r>
      <w:r w:rsidR="003B5E8A">
        <w:t xml:space="preserve"> settlement of the claims against the Travelocity group</w:t>
      </w:r>
      <w:r w:rsidR="00DD116C">
        <w:t xml:space="preserve"> in which $400,000 will be paid by Travelocity with no admission of wrongdoing or liability.  </w:t>
      </w:r>
      <w:r w:rsidR="007363B1">
        <w:t>In addition</w:t>
      </w:r>
      <w:r w:rsidR="00DD116C">
        <w:t xml:space="preserve">, Travelocity will not be liable for collecting hotel tax between February 1, 2012 and January 31, 2013.  </w:t>
      </w:r>
      <w:r w:rsidR="00DD116C">
        <w:lastRenderedPageBreak/>
        <w:t>Thereafter, the county may once again pursue claims against the Travelocity group.</w:t>
      </w:r>
      <w:r w:rsidR="009032D2">
        <w:t xml:space="preserve">  Claims against the other OTC remain pending.</w:t>
      </w:r>
      <w:r w:rsidR="00DD116C">
        <w:t xml:space="preserve"> </w:t>
      </w:r>
    </w:p>
    <w:p w:rsidR="003B5E8A" w:rsidRDefault="003B5E8A" w:rsidP="003B5E8A">
      <w:pPr>
        <w:pStyle w:val="Default"/>
        <w:spacing w:line="480" w:lineRule="auto"/>
      </w:pPr>
    </w:p>
    <w:p w:rsidR="000A4BDC" w:rsidRPr="000A4BDC" w:rsidRDefault="00717285" w:rsidP="003B5E8A">
      <w:pPr>
        <w:pStyle w:val="Default"/>
        <w:spacing w:line="480" w:lineRule="auto"/>
        <w:ind w:left="720"/>
      </w:pPr>
      <w:r>
        <w:t xml:space="preserve"> </w:t>
      </w:r>
      <w:r w:rsidR="000A4BDC">
        <w:t xml:space="preserve">  </w:t>
      </w:r>
    </w:p>
    <w:sectPr w:rsidR="000A4BDC" w:rsidRPr="000A4BDC" w:rsidSect="00302E8C">
      <w:footerReference w:type="default" r:id="rId9"/>
      <w:pgSz w:w="12393" w:h="1596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2B" w:rsidRDefault="0005192B" w:rsidP="00CC0116">
      <w:pPr>
        <w:spacing w:after="0" w:line="240" w:lineRule="auto"/>
      </w:pPr>
      <w:r>
        <w:separator/>
      </w:r>
    </w:p>
  </w:endnote>
  <w:endnote w:type="continuationSeparator" w:id="1">
    <w:p w:rsidR="0005192B" w:rsidRDefault="0005192B" w:rsidP="00CC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8A" w:rsidRDefault="003B5E8A">
    <w:pPr>
      <w:pStyle w:val="Footer"/>
      <w:jc w:val="right"/>
    </w:pPr>
  </w:p>
  <w:p w:rsidR="003B5E8A" w:rsidRDefault="003B5E8A" w:rsidP="004672E4">
    <w:pPr>
      <w:pStyle w:val="Footer"/>
    </w:pPr>
    <w:r>
      <w:t>Last Updated:  2/28/12</w:t>
    </w:r>
    <w:r>
      <w:tab/>
    </w:r>
    <w:sdt>
      <w:sdtPr>
        <w:id w:val="3602532"/>
        <w:docPartObj>
          <w:docPartGallery w:val="Page Numbers (Bottom of Page)"/>
          <w:docPartUnique/>
        </w:docPartObj>
      </w:sdtPr>
      <w:sdtContent>
        <w:fldSimple w:instr=" PAGE   \* MERGEFORMAT ">
          <w:r w:rsidR="00CF25C9">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2B" w:rsidRDefault="0005192B" w:rsidP="00CC0116">
      <w:pPr>
        <w:spacing w:after="0" w:line="240" w:lineRule="auto"/>
      </w:pPr>
      <w:r>
        <w:separator/>
      </w:r>
    </w:p>
  </w:footnote>
  <w:footnote w:type="continuationSeparator" w:id="1">
    <w:p w:rsidR="0005192B" w:rsidRDefault="0005192B" w:rsidP="00CC0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CE0190"/>
    <w:multiLevelType w:val="hybridMultilevel"/>
    <w:tmpl w:val="486F3BB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BB9E320"/>
    <w:multiLevelType w:val="hybridMultilevel"/>
    <w:tmpl w:val="69580C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DB7DF93"/>
    <w:multiLevelType w:val="hybridMultilevel"/>
    <w:tmpl w:val="B3F05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87171A"/>
    <w:multiLevelType w:val="hybridMultilevel"/>
    <w:tmpl w:val="246711E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3A4E51F"/>
    <w:multiLevelType w:val="hybridMultilevel"/>
    <w:tmpl w:val="938A4E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7D9B8B"/>
    <w:multiLevelType w:val="hybridMultilevel"/>
    <w:tmpl w:val="138AF43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058E8FB"/>
    <w:multiLevelType w:val="hybridMultilevel"/>
    <w:tmpl w:val="2CFADD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27D9A76"/>
    <w:multiLevelType w:val="hybridMultilevel"/>
    <w:tmpl w:val="0F2C75D2"/>
    <w:lvl w:ilvl="0" w:tplc="FFFFFFFF">
      <w:start w:val="1"/>
      <w:numFmt w:val="bullet"/>
      <w:lvlText w:val="•"/>
      <w:lvlJc w:val="left"/>
    </w:lvl>
    <w:lvl w:ilvl="1" w:tplc="FFFFFFFF">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8C02D4"/>
    <w:multiLevelType w:val="hybridMultilevel"/>
    <w:tmpl w:val="46BABE4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423779"/>
    <w:multiLevelType w:val="hybridMultilevel"/>
    <w:tmpl w:val="8348E616"/>
    <w:lvl w:ilvl="0" w:tplc="25B4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0532E4"/>
    <w:multiLevelType w:val="hybridMultilevel"/>
    <w:tmpl w:val="2F74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430C18"/>
    <w:multiLevelType w:val="hybridMultilevel"/>
    <w:tmpl w:val="135E591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87868"/>
    <w:multiLevelType w:val="hybridMultilevel"/>
    <w:tmpl w:val="78724A2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F5130"/>
    <w:multiLevelType w:val="hybridMultilevel"/>
    <w:tmpl w:val="2332963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04658"/>
    <w:multiLevelType w:val="hybridMultilevel"/>
    <w:tmpl w:val="B098361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E0261"/>
    <w:multiLevelType w:val="hybridMultilevel"/>
    <w:tmpl w:val="065E7EF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05468"/>
    <w:multiLevelType w:val="hybridMultilevel"/>
    <w:tmpl w:val="B750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E03A4"/>
    <w:multiLevelType w:val="hybridMultilevel"/>
    <w:tmpl w:val="D7242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3F5B29"/>
    <w:multiLevelType w:val="hybridMultilevel"/>
    <w:tmpl w:val="DC544488"/>
    <w:lvl w:ilvl="0" w:tplc="9CE2247A">
      <w:start w:val="1"/>
      <w:numFmt w:val="bullet"/>
      <w:lvlText w:val=""/>
      <w:lvlJc w:val="left"/>
      <w:pPr>
        <w:tabs>
          <w:tab w:val="num" w:pos="720"/>
        </w:tabs>
        <w:ind w:left="720" w:hanging="360"/>
      </w:pPr>
      <w:rPr>
        <w:rFonts w:ascii="Wingdings" w:hAnsi="Wingdings" w:hint="default"/>
      </w:rPr>
    </w:lvl>
    <w:lvl w:ilvl="1" w:tplc="D6B0A4C2">
      <w:start w:val="2600"/>
      <w:numFmt w:val="bullet"/>
      <w:lvlText w:val=""/>
      <w:lvlJc w:val="left"/>
      <w:pPr>
        <w:tabs>
          <w:tab w:val="num" w:pos="1440"/>
        </w:tabs>
        <w:ind w:left="1440" w:hanging="360"/>
      </w:pPr>
      <w:rPr>
        <w:rFonts w:ascii="Wingdings" w:hAnsi="Wingdings" w:hint="default"/>
      </w:rPr>
    </w:lvl>
    <w:lvl w:ilvl="2" w:tplc="404E3A72">
      <w:start w:val="1"/>
      <w:numFmt w:val="decimal"/>
      <w:lvlText w:val="%3."/>
      <w:lvlJc w:val="left"/>
      <w:pPr>
        <w:tabs>
          <w:tab w:val="num" w:pos="2160"/>
        </w:tabs>
        <w:ind w:left="2160" w:hanging="360"/>
      </w:pPr>
    </w:lvl>
    <w:lvl w:ilvl="3" w:tplc="9D601724">
      <w:start w:val="1"/>
      <w:numFmt w:val="decimal"/>
      <w:lvlText w:val="%4."/>
      <w:lvlJc w:val="left"/>
      <w:pPr>
        <w:tabs>
          <w:tab w:val="num" w:pos="2880"/>
        </w:tabs>
        <w:ind w:left="2880" w:hanging="360"/>
      </w:pPr>
    </w:lvl>
    <w:lvl w:ilvl="4" w:tplc="180CDED6">
      <w:start w:val="1"/>
      <w:numFmt w:val="decimal"/>
      <w:lvlText w:val="%5."/>
      <w:lvlJc w:val="left"/>
      <w:pPr>
        <w:tabs>
          <w:tab w:val="num" w:pos="3600"/>
        </w:tabs>
        <w:ind w:left="3600" w:hanging="360"/>
      </w:pPr>
    </w:lvl>
    <w:lvl w:ilvl="5" w:tplc="429A71D8">
      <w:start w:val="1"/>
      <w:numFmt w:val="decimal"/>
      <w:lvlText w:val="%6."/>
      <w:lvlJc w:val="left"/>
      <w:pPr>
        <w:tabs>
          <w:tab w:val="num" w:pos="4320"/>
        </w:tabs>
        <w:ind w:left="4320" w:hanging="360"/>
      </w:pPr>
    </w:lvl>
    <w:lvl w:ilvl="6" w:tplc="C8AADA2E">
      <w:start w:val="1"/>
      <w:numFmt w:val="decimal"/>
      <w:lvlText w:val="%7."/>
      <w:lvlJc w:val="left"/>
      <w:pPr>
        <w:tabs>
          <w:tab w:val="num" w:pos="5040"/>
        </w:tabs>
        <w:ind w:left="5040" w:hanging="360"/>
      </w:pPr>
    </w:lvl>
    <w:lvl w:ilvl="7" w:tplc="A7001B1C">
      <w:start w:val="1"/>
      <w:numFmt w:val="decimal"/>
      <w:lvlText w:val="%8."/>
      <w:lvlJc w:val="left"/>
      <w:pPr>
        <w:tabs>
          <w:tab w:val="num" w:pos="5760"/>
        </w:tabs>
        <w:ind w:left="5760" w:hanging="360"/>
      </w:pPr>
    </w:lvl>
    <w:lvl w:ilvl="8" w:tplc="60F89928">
      <w:start w:val="1"/>
      <w:numFmt w:val="decimal"/>
      <w:lvlText w:val="%9."/>
      <w:lvlJc w:val="left"/>
      <w:pPr>
        <w:tabs>
          <w:tab w:val="num" w:pos="6480"/>
        </w:tabs>
        <w:ind w:left="6480" w:hanging="360"/>
      </w:pPr>
    </w:lvl>
  </w:abstractNum>
  <w:abstractNum w:abstractNumId="19">
    <w:nsid w:val="3C81AE77"/>
    <w:multiLevelType w:val="hybridMultilevel"/>
    <w:tmpl w:val="BC8CAE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E20246"/>
    <w:multiLevelType w:val="hybridMultilevel"/>
    <w:tmpl w:val="E1189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8EC5157"/>
    <w:multiLevelType w:val="hybridMultilevel"/>
    <w:tmpl w:val="5FEC76E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7B7555"/>
    <w:multiLevelType w:val="hybridMultilevel"/>
    <w:tmpl w:val="8A25F9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4E64CF8"/>
    <w:multiLevelType w:val="hybridMultilevel"/>
    <w:tmpl w:val="3AB6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674EA"/>
    <w:multiLevelType w:val="hybridMultilevel"/>
    <w:tmpl w:val="1B3A7CA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91A74CB"/>
    <w:multiLevelType w:val="hybridMultilevel"/>
    <w:tmpl w:val="AA54FA9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74654"/>
    <w:multiLevelType w:val="hybridMultilevel"/>
    <w:tmpl w:val="E9BEE67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E5B0E"/>
    <w:multiLevelType w:val="hybridMultilevel"/>
    <w:tmpl w:val="96BD32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E9D6694"/>
    <w:multiLevelType w:val="hybridMultilevel"/>
    <w:tmpl w:val="2DAA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F6CD2"/>
    <w:multiLevelType w:val="hybridMultilevel"/>
    <w:tmpl w:val="EB6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15736"/>
    <w:multiLevelType w:val="hybridMultilevel"/>
    <w:tmpl w:val="76A05052"/>
    <w:lvl w:ilvl="0" w:tplc="B6E86A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E72DA"/>
    <w:multiLevelType w:val="hybridMultilevel"/>
    <w:tmpl w:val="B3A68E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100B0"/>
    <w:multiLevelType w:val="hybridMultilevel"/>
    <w:tmpl w:val="1164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10027"/>
    <w:multiLevelType w:val="hybridMultilevel"/>
    <w:tmpl w:val="6164A40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6"/>
  </w:num>
  <w:num w:numId="5">
    <w:abstractNumId w:val="0"/>
  </w:num>
  <w:num w:numId="6">
    <w:abstractNumId w:val="3"/>
  </w:num>
  <w:num w:numId="7">
    <w:abstractNumId w:val="7"/>
  </w:num>
  <w:num w:numId="8">
    <w:abstractNumId w:val="19"/>
  </w:num>
  <w:num w:numId="9">
    <w:abstractNumId w:val="2"/>
  </w:num>
  <w:num w:numId="10">
    <w:abstractNumId w:val="4"/>
  </w:num>
  <w:num w:numId="11">
    <w:abstractNumId w:val="22"/>
  </w:num>
  <w:num w:numId="12">
    <w:abstractNumId w:val="20"/>
  </w:num>
  <w:num w:numId="13">
    <w:abstractNumId w:val="10"/>
  </w:num>
  <w:num w:numId="14">
    <w:abstractNumId w:val="33"/>
  </w:num>
  <w:num w:numId="15">
    <w:abstractNumId w:val="8"/>
  </w:num>
  <w:num w:numId="16">
    <w:abstractNumId w:val="25"/>
  </w:num>
  <w:num w:numId="17">
    <w:abstractNumId w:val="11"/>
  </w:num>
  <w:num w:numId="18">
    <w:abstractNumId w:val="26"/>
  </w:num>
  <w:num w:numId="19">
    <w:abstractNumId w:val="15"/>
  </w:num>
  <w:num w:numId="20">
    <w:abstractNumId w:val="12"/>
  </w:num>
  <w:num w:numId="21">
    <w:abstractNumId w:val="14"/>
  </w:num>
  <w:num w:numId="22">
    <w:abstractNumId w:val="28"/>
  </w:num>
  <w:num w:numId="23">
    <w:abstractNumId w:val="31"/>
  </w:num>
  <w:num w:numId="24">
    <w:abstractNumId w:val="17"/>
  </w:num>
  <w:num w:numId="25">
    <w:abstractNumId w:val="16"/>
  </w:num>
  <w:num w:numId="26">
    <w:abstractNumId w:val="13"/>
  </w:num>
  <w:num w:numId="27">
    <w:abstractNumId w:val="30"/>
  </w:num>
  <w:num w:numId="28">
    <w:abstractNumId w:val="21"/>
  </w:num>
  <w:num w:numId="29">
    <w:abstractNumId w:val="32"/>
  </w:num>
  <w:num w:numId="30">
    <w:abstractNumId w:val="23"/>
  </w:num>
  <w:num w:numId="31">
    <w:abstractNumId w:val="29"/>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C0116"/>
    <w:rsid w:val="00000DD7"/>
    <w:rsid w:val="00013542"/>
    <w:rsid w:val="00014D18"/>
    <w:rsid w:val="00020234"/>
    <w:rsid w:val="00021D53"/>
    <w:rsid w:val="00023593"/>
    <w:rsid w:val="00034DB7"/>
    <w:rsid w:val="00037ADE"/>
    <w:rsid w:val="00037EE4"/>
    <w:rsid w:val="0005192B"/>
    <w:rsid w:val="00056E99"/>
    <w:rsid w:val="00064994"/>
    <w:rsid w:val="00066A9F"/>
    <w:rsid w:val="000737AC"/>
    <w:rsid w:val="0007461A"/>
    <w:rsid w:val="00074EF6"/>
    <w:rsid w:val="00076936"/>
    <w:rsid w:val="00081DF3"/>
    <w:rsid w:val="00091862"/>
    <w:rsid w:val="00094DF3"/>
    <w:rsid w:val="000A00D2"/>
    <w:rsid w:val="000A10AF"/>
    <w:rsid w:val="000A2ACC"/>
    <w:rsid w:val="000A36FC"/>
    <w:rsid w:val="000A4BDC"/>
    <w:rsid w:val="000B0F2A"/>
    <w:rsid w:val="000B2386"/>
    <w:rsid w:val="000B6E0F"/>
    <w:rsid w:val="000B7F6E"/>
    <w:rsid w:val="000D650F"/>
    <w:rsid w:val="000E35B4"/>
    <w:rsid w:val="000F1617"/>
    <w:rsid w:val="000F5BFE"/>
    <w:rsid w:val="001002A4"/>
    <w:rsid w:val="00102394"/>
    <w:rsid w:val="00104B40"/>
    <w:rsid w:val="00116CC3"/>
    <w:rsid w:val="001213E2"/>
    <w:rsid w:val="0012182F"/>
    <w:rsid w:val="001267FD"/>
    <w:rsid w:val="00134A1A"/>
    <w:rsid w:val="001364CC"/>
    <w:rsid w:val="00145E7C"/>
    <w:rsid w:val="00147448"/>
    <w:rsid w:val="00147AFA"/>
    <w:rsid w:val="00156636"/>
    <w:rsid w:val="001664AD"/>
    <w:rsid w:val="0017059F"/>
    <w:rsid w:val="00174A6E"/>
    <w:rsid w:val="00180311"/>
    <w:rsid w:val="00180E74"/>
    <w:rsid w:val="00185D94"/>
    <w:rsid w:val="00187B56"/>
    <w:rsid w:val="001905FD"/>
    <w:rsid w:val="00195EBF"/>
    <w:rsid w:val="001979FB"/>
    <w:rsid w:val="001A23E8"/>
    <w:rsid w:val="001A71F3"/>
    <w:rsid w:val="001B4C3A"/>
    <w:rsid w:val="001C65DC"/>
    <w:rsid w:val="001E2909"/>
    <w:rsid w:val="001E700E"/>
    <w:rsid w:val="001F1FAC"/>
    <w:rsid w:val="00201AAF"/>
    <w:rsid w:val="002026A6"/>
    <w:rsid w:val="00202C6F"/>
    <w:rsid w:val="00206EF6"/>
    <w:rsid w:val="002077D6"/>
    <w:rsid w:val="002120B2"/>
    <w:rsid w:val="00216721"/>
    <w:rsid w:val="002265AB"/>
    <w:rsid w:val="002322EB"/>
    <w:rsid w:val="0023499F"/>
    <w:rsid w:val="002473E6"/>
    <w:rsid w:val="002575B4"/>
    <w:rsid w:val="00261B6B"/>
    <w:rsid w:val="0026514B"/>
    <w:rsid w:val="002760DB"/>
    <w:rsid w:val="0028036A"/>
    <w:rsid w:val="002824C2"/>
    <w:rsid w:val="00282687"/>
    <w:rsid w:val="0028378F"/>
    <w:rsid w:val="00284589"/>
    <w:rsid w:val="002857A1"/>
    <w:rsid w:val="00290604"/>
    <w:rsid w:val="002908B9"/>
    <w:rsid w:val="00293F3A"/>
    <w:rsid w:val="00294AE6"/>
    <w:rsid w:val="002A388E"/>
    <w:rsid w:val="002B6A5E"/>
    <w:rsid w:val="002B712F"/>
    <w:rsid w:val="002D0E92"/>
    <w:rsid w:val="002D26A6"/>
    <w:rsid w:val="002D2895"/>
    <w:rsid w:val="00302E8C"/>
    <w:rsid w:val="003058C6"/>
    <w:rsid w:val="00312CA1"/>
    <w:rsid w:val="00317861"/>
    <w:rsid w:val="00323AB9"/>
    <w:rsid w:val="00327F73"/>
    <w:rsid w:val="003303A9"/>
    <w:rsid w:val="00365725"/>
    <w:rsid w:val="00376306"/>
    <w:rsid w:val="003772D5"/>
    <w:rsid w:val="00382731"/>
    <w:rsid w:val="00384CBA"/>
    <w:rsid w:val="0039013A"/>
    <w:rsid w:val="00392F82"/>
    <w:rsid w:val="003A0C39"/>
    <w:rsid w:val="003B038B"/>
    <w:rsid w:val="003B5E8A"/>
    <w:rsid w:val="003B7F7C"/>
    <w:rsid w:val="003C4BF3"/>
    <w:rsid w:val="003C6799"/>
    <w:rsid w:val="003D011C"/>
    <w:rsid w:val="003D708A"/>
    <w:rsid w:val="003E33E5"/>
    <w:rsid w:val="003F1F4E"/>
    <w:rsid w:val="003F75D0"/>
    <w:rsid w:val="0040322C"/>
    <w:rsid w:val="00415142"/>
    <w:rsid w:val="004347F4"/>
    <w:rsid w:val="00442F5C"/>
    <w:rsid w:val="0044526A"/>
    <w:rsid w:val="004509DF"/>
    <w:rsid w:val="00453D78"/>
    <w:rsid w:val="00457120"/>
    <w:rsid w:val="004672E4"/>
    <w:rsid w:val="00484972"/>
    <w:rsid w:val="0049044B"/>
    <w:rsid w:val="00490B94"/>
    <w:rsid w:val="00491032"/>
    <w:rsid w:val="00493563"/>
    <w:rsid w:val="0049489C"/>
    <w:rsid w:val="00495861"/>
    <w:rsid w:val="004A5870"/>
    <w:rsid w:val="004B037F"/>
    <w:rsid w:val="004C3892"/>
    <w:rsid w:val="004D2221"/>
    <w:rsid w:val="004D3476"/>
    <w:rsid w:val="004D5334"/>
    <w:rsid w:val="004D5377"/>
    <w:rsid w:val="004E1733"/>
    <w:rsid w:val="004F0BBF"/>
    <w:rsid w:val="00503554"/>
    <w:rsid w:val="00515985"/>
    <w:rsid w:val="00516BB6"/>
    <w:rsid w:val="005247F2"/>
    <w:rsid w:val="00527534"/>
    <w:rsid w:val="005314FC"/>
    <w:rsid w:val="005338C4"/>
    <w:rsid w:val="00534242"/>
    <w:rsid w:val="00552569"/>
    <w:rsid w:val="00552EFB"/>
    <w:rsid w:val="00554069"/>
    <w:rsid w:val="00560E42"/>
    <w:rsid w:val="00566C2A"/>
    <w:rsid w:val="00571EB3"/>
    <w:rsid w:val="005827C4"/>
    <w:rsid w:val="005A1132"/>
    <w:rsid w:val="005A76EE"/>
    <w:rsid w:val="005B0257"/>
    <w:rsid w:val="005B0E38"/>
    <w:rsid w:val="005B2471"/>
    <w:rsid w:val="005B6894"/>
    <w:rsid w:val="005C0BB9"/>
    <w:rsid w:val="005C1B87"/>
    <w:rsid w:val="005C3791"/>
    <w:rsid w:val="005D48F4"/>
    <w:rsid w:val="005D4DD6"/>
    <w:rsid w:val="005D6D17"/>
    <w:rsid w:val="005E0802"/>
    <w:rsid w:val="005F0DF4"/>
    <w:rsid w:val="005F71F5"/>
    <w:rsid w:val="00600A2A"/>
    <w:rsid w:val="006037AB"/>
    <w:rsid w:val="00610C52"/>
    <w:rsid w:val="00615F03"/>
    <w:rsid w:val="006374A8"/>
    <w:rsid w:val="00647BD5"/>
    <w:rsid w:val="00652192"/>
    <w:rsid w:val="0066139A"/>
    <w:rsid w:val="006718A3"/>
    <w:rsid w:val="006736D8"/>
    <w:rsid w:val="00675877"/>
    <w:rsid w:val="0068317B"/>
    <w:rsid w:val="0069041C"/>
    <w:rsid w:val="006912EB"/>
    <w:rsid w:val="0069681A"/>
    <w:rsid w:val="0069701D"/>
    <w:rsid w:val="006977D0"/>
    <w:rsid w:val="006A49D4"/>
    <w:rsid w:val="006B1AEC"/>
    <w:rsid w:val="006B6763"/>
    <w:rsid w:val="006C297E"/>
    <w:rsid w:val="006C2D8E"/>
    <w:rsid w:val="006C3109"/>
    <w:rsid w:val="006C3810"/>
    <w:rsid w:val="006C3CD4"/>
    <w:rsid w:val="006E20E4"/>
    <w:rsid w:val="006E2C59"/>
    <w:rsid w:val="006E4D07"/>
    <w:rsid w:val="006E7ECD"/>
    <w:rsid w:val="006F2DCD"/>
    <w:rsid w:val="006F405A"/>
    <w:rsid w:val="006F5E32"/>
    <w:rsid w:val="00700EB1"/>
    <w:rsid w:val="00715681"/>
    <w:rsid w:val="007162AA"/>
    <w:rsid w:val="00717285"/>
    <w:rsid w:val="00725BED"/>
    <w:rsid w:val="007363B1"/>
    <w:rsid w:val="0075158A"/>
    <w:rsid w:val="00754E27"/>
    <w:rsid w:val="007556D4"/>
    <w:rsid w:val="00760A5D"/>
    <w:rsid w:val="00771DB9"/>
    <w:rsid w:val="00785315"/>
    <w:rsid w:val="00793227"/>
    <w:rsid w:val="007A2ECE"/>
    <w:rsid w:val="007A38C2"/>
    <w:rsid w:val="007A406B"/>
    <w:rsid w:val="007A7399"/>
    <w:rsid w:val="007B0504"/>
    <w:rsid w:val="007E2D5D"/>
    <w:rsid w:val="007E45E3"/>
    <w:rsid w:val="007E4FB4"/>
    <w:rsid w:val="007F124A"/>
    <w:rsid w:val="008033B6"/>
    <w:rsid w:val="008172B6"/>
    <w:rsid w:val="00822348"/>
    <w:rsid w:val="0082373E"/>
    <w:rsid w:val="00832805"/>
    <w:rsid w:val="00840616"/>
    <w:rsid w:val="00855700"/>
    <w:rsid w:val="00856952"/>
    <w:rsid w:val="00866814"/>
    <w:rsid w:val="00867EAC"/>
    <w:rsid w:val="00871D29"/>
    <w:rsid w:val="008759B1"/>
    <w:rsid w:val="008975B3"/>
    <w:rsid w:val="008A6931"/>
    <w:rsid w:val="008B4992"/>
    <w:rsid w:val="008D07FA"/>
    <w:rsid w:val="008D3C0A"/>
    <w:rsid w:val="008E16D7"/>
    <w:rsid w:val="008E1F70"/>
    <w:rsid w:val="008E6C48"/>
    <w:rsid w:val="008F5950"/>
    <w:rsid w:val="00900B00"/>
    <w:rsid w:val="009032D2"/>
    <w:rsid w:val="0091429B"/>
    <w:rsid w:val="009155FD"/>
    <w:rsid w:val="00917371"/>
    <w:rsid w:val="00917626"/>
    <w:rsid w:val="00923A4F"/>
    <w:rsid w:val="009312F8"/>
    <w:rsid w:val="00944E5B"/>
    <w:rsid w:val="0095725C"/>
    <w:rsid w:val="00967E39"/>
    <w:rsid w:val="009706F2"/>
    <w:rsid w:val="00974620"/>
    <w:rsid w:val="009807B5"/>
    <w:rsid w:val="00985755"/>
    <w:rsid w:val="009914B5"/>
    <w:rsid w:val="009962F8"/>
    <w:rsid w:val="009A3E09"/>
    <w:rsid w:val="009B0F1B"/>
    <w:rsid w:val="009B72CB"/>
    <w:rsid w:val="009B7C6E"/>
    <w:rsid w:val="009C4E00"/>
    <w:rsid w:val="009D0FE5"/>
    <w:rsid w:val="009D3A0B"/>
    <w:rsid w:val="009E1C06"/>
    <w:rsid w:val="009E66E0"/>
    <w:rsid w:val="009F11BA"/>
    <w:rsid w:val="00A01A25"/>
    <w:rsid w:val="00A02B45"/>
    <w:rsid w:val="00A05B3D"/>
    <w:rsid w:val="00A13EE7"/>
    <w:rsid w:val="00A1657A"/>
    <w:rsid w:val="00A17A7C"/>
    <w:rsid w:val="00A2136F"/>
    <w:rsid w:val="00A32C9D"/>
    <w:rsid w:val="00A349F2"/>
    <w:rsid w:val="00A46248"/>
    <w:rsid w:val="00A46834"/>
    <w:rsid w:val="00A56C25"/>
    <w:rsid w:val="00A715D4"/>
    <w:rsid w:val="00A770D5"/>
    <w:rsid w:val="00A92191"/>
    <w:rsid w:val="00AC0BE0"/>
    <w:rsid w:val="00AC27A4"/>
    <w:rsid w:val="00AC3507"/>
    <w:rsid w:val="00AC4F8B"/>
    <w:rsid w:val="00AD044A"/>
    <w:rsid w:val="00AD334F"/>
    <w:rsid w:val="00AD34C2"/>
    <w:rsid w:val="00AE0681"/>
    <w:rsid w:val="00AE489E"/>
    <w:rsid w:val="00B14AB8"/>
    <w:rsid w:val="00B1749C"/>
    <w:rsid w:val="00B207BB"/>
    <w:rsid w:val="00B23070"/>
    <w:rsid w:val="00B348D2"/>
    <w:rsid w:val="00B3700D"/>
    <w:rsid w:val="00B4245A"/>
    <w:rsid w:val="00B56C21"/>
    <w:rsid w:val="00B636A9"/>
    <w:rsid w:val="00B77CEB"/>
    <w:rsid w:val="00BB6DD4"/>
    <w:rsid w:val="00BC00D4"/>
    <w:rsid w:val="00BC6622"/>
    <w:rsid w:val="00BD786E"/>
    <w:rsid w:val="00BE2C6D"/>
    <w:rsid w:val="00BF543D"/>
    <w:rsid w:val="00C11340"/>
    <w:rsid w:val="00C16D71"/>
    <w:rsid w:val="00C328C3"/>
    <w:rsid w:val="00C353E4"/>
    <w:rsid w:val="00C45E76"/>
    <w:rsid w:val="00C52863"/>
    <w:rsid w:val="00C77F4E"/>
    <w:rsid w:val="00C92B57"/>
    <w:rsid w:val="00C93F63"/>
    <w:rsid w:val="00CA22AA"/>
    <w:rsid w:val="00CA44B8"/>
    <w:rsid w:val="00CA5E53"/>
    <w:rsid w:val="00CB60A8"/>
    <w:rsid w:val="00CC0116"/>
    <w:rsid w:val="00CC2723"/>
    <w:rsid w:val="00CD2823"/>
    <w:rsid w:val="00CD2FDC"/>
    <w:rsid w:val="00CD6621"/>
    <w:rsid w:val="00CD7D8A"/>
    <w:rsid w:val="00CE1157"/>
    <w:rsid w:val="00CF25C9"/>
    <w:rsid w:val="00CF26A5"/>
    <w:rsid w:val="00CF4DE4"/>
    <w:rsid w:val="00D00805"/>
    <w:rsid w:val="00D01550"/>
    <w:rsid w:val="00D018EF"/>
    <w:rsid w:val="00D03254"/>
    <w:rsid w:val="00D0385F"/>
    <w:rsid w:val="00D06D77"/>
    <w:rsid w:val="00D108B5"/>
    <w:rsid w:val="00D20D97"/>
    <w:rsid w:val="00D25100"/>
    <w:rsid w:val="00D30359"/>
    <w:rsid w:val="00D352BB"/>
    <w:rsid w:val="00D4195E"/>
    <w:rsid w:val="00D4478B"/>
    <w:rsid w:val="00D46E98"/>
    <w:rsid w:val="00D47669"/>
    <w:rsid w:val="00D54ECE"/>
    <w:rsid w:val="00D60EFE"/>
    <w:rsid w:val="00D644E3"/>
    <w:rsid w:val="00D7491D"/>
    <w:rsid w:val="00D758F6"/>
    <w:rsid w:val="00D975ED"/>
    <w:rsid w:val="00DA6A3D"/>
    <w:rsid w:val="00DB3775"/>
    <w:rsid w:val="00DB4C34"/>
    <w:rsid w:val="00DC14EF"/>
    <w:rsid w:val="00DD116C"/>
    <w:rsid w:val="00DD344C"/>
    <w:rsid w:val="00DD6E9A"/>
    <w:rsid w:val="00DE0465"/>
    <w:rsid w:val="00DE1EA1"/>
    <w:rsid w:val="00DE71B1"/>
    <w:rsid w:val="00DF0BAB"/>
    <w:rsid w:val="00E0276D"/>
    <w:rsid w:val="00E157AD"/>
    <w:rsid w:val="00E1667D"/>
    <w:rsid w:val="00E23EB9"/>
    <w:rsid w:val="00E4022A"/>
    <w:rsid w:val="00E47EF7"/>
    <w:rsid w:val="00E54718"/>
    <w:rsid w:val="00E8250D"/>
    <w:rsid w:val="00E825F7"/>
    <w:rsid w:val="00EA044C"/>
    <w:rsid w:val="00EB0F8C"/>
    <w:rsid w:val="00EB1CE7"/>
    <w:rsid w:val="00EC53C7"/>
    <w:rsid w:val="00EC64CF"/>
    <w:rsid w:val="00EC7346"/>
    <w:rsid w:val="00ED2899"/>
    <w:rsid w:val="00ED56EE"/>
    <w:rsid w:val="00EE2FCC"/>
    <w:rsid w:val="00EF19EF"/>
    <w:rsid w:val="00EF369F"/>
    <w:rsid w:val="00F069B2"/>
    <w:rsid w:val="00F07B6C"/>
    <w:rsid w:val="00F12F7F"/>
    <w:rsid w:val="00F1361A"/>
    <w:rsid w:val="00F15F7B"/>
    <w:rsid w:val="00F16E55"/>
    <w:rsid w:val="00F21E75"/>
    <w:rsid w:val="00F30BF0"/>
    <w:rsid w:val="00F32047"/>
    <w:rsid w:val="00F33A8D"/>
    <w:rsid w:val="00F549A6"/>
    <w:rsid w:val="00F61CCC"/>
    <w:rsid w:val="00F7031A"/>
    <w:rsid w:val="00F779BD"/>
    <w:rsid w:val="00F91AE3"/>
    <w:rsid w:val="00F92733"/>
    <w:rsid w:val="00F94A96"/>
    <w:rsid w:val="00F966C4"/>
    <w:rsid w:val="00FB0FAC"/>
    <w:rsid w:val="00FB534B"/>
    <w:rsid w:val="00FC584C"/>
    <w:rsid w:val="00FE3568"/>
    <w:rsid w:val="00FF31BC"/>
    <w:rsid w:val="00FF3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A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02A4"/>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1002A4"/>
    <w:pPr>
      <w:spacing w:line="266" w:lineRule="atLeast"/>
    </w:pPr>
    <w:rPr>
      <w:color w:val="auto"/>
    </w:rPr>
  </w:style>
  <w:style w:type="paragraph" w:customStyle="1" w:styleId="CM35">
    <w:name w:val="CM35"/>
    <w:basedOn w:val="Default"/>
    <w:next w:val="Default"/>
    <w:uiPriority w:val="99"/>
    <w:rsid w:val="001002A4"/>
    <w:rPr>
      <w:color w:val="auto"/>
    </w:rPr>
  </w:style>
  <w:style w:type="paragraph" w:customStyle="1" w:styleId="CM2">
    <w:name w:val="CM2"/>
    <w:basedOn w:val="Default"/>
    <w:next w:val="Default"/>
    <w:uiPriority w:val="99"/>
    <w:rsid w:val="001002A4"/>
    <w:rPr>
      <w:color w:val="auto"/>
    </w:rPr>
  </w:style>
  <w:style w:type="paragraph" w:customStyle="1" w:styleId="CM36">
    <w:name w:val="CM36"/>
    <w:basedOn w:val="Default"/>
    <w:next w:val="Default"/>
    <w:uiPriority w:val="99"/>
    <w:rsid w:val="001002A4"/>
    <w:rPr>
      <w:color w:val="auto"/>
    </w:rPr>
  </w:style>
  <w:style w:type="paragraph" w:customStyle="1" w:styleId="CM3">
    <w:name w:val="CM3"/>
    <w:basedOn w:val="Default"/>
    <w:next w:val="Default"/>
    <w:uiPriority w:val="99"/>
    <w:rsid w:val="001002A4"/>
    <w:rPr>
      <w:color w:val="auto"/>
    </w:rPr>
  </w:style>
  <w:style w:type="paragraph" w:customStyle="1" w:styleId="CM41">
    <w:name w:val="CM41"/>
    <w:basedOn w:val="Default"/>
    <w:next w:val="Default"/>
    <w:uiPriority w:val="99"/>
    <w:rsid w:val="001002A4"/>
    <w:rPr>
      <w:color w:val="auto"/>
    </w:rPr>
  </w:style>
  <w:style w:type="paragraph" w:customStyle="1" w:styleId="CM4">
    <w:name w:val="CM4"/>
    <w:basedOn w:val="Default"/>
    <w:next w:val="Default"/>
    <w:uiPriority w:val="99"/>
    <w:rsid w:val="001002A4"/>
    <w:pPr>
      <w:spacing w:line="266" w:lineRule="atLeast"/>
    </w:pPr>
    <w:rPr>
      <w:color w:val="auto"/>
    </w:rPr>
  </w:style>
  <w:style w:type="paragraph" w:customStyle="1" w:styleId="CM37">
    <w:name w:val="CM37"/>
    <w:basedOn w:val="Default"/>
    <w:next w:val="Default"/>
    <w:uiPriority w:val="99"/>
    <w:rsid w:val="001002A4"/>
    <w:rPr>
      <w:color w:val="auto"/>
    </w:rPr>
  </w:style>
  <w:style w:type="paragraph" w:customStyle="1" w:styleId="CM5">
    <w:name w:val="CM5"/>
    <w:basedOn w:val="Default"/>
    <w:next w:val="Default"/>
    <w:uiPriority w:val="99"/>
    <w:rsid w:val="001002A4"/>
    <w:pPr>
      <w:spacing w:line="531" w:lineRule="atLeast"/>
    </w:pPr>
    <w:rPr>
      <w:color w:val="auto"/>
    </w:rPr>
  </w:style>
  <w:style w:type="paragraph" w:customStyle="1" w:styleId="CM6">
    <w:name w:val="CM6"/>
    <w:basedOn w:val="Default"/>
    <w:next w:val="Default"/>
    <w:uiPriority w:val="99"/>
    <w:rsid w:val="001002A4"/>
    <w:rPr>
      <w:color w:val="auto"/>
    </w:rPr>
  </w:style>
  <w:style w:type="paragraph" w:customStyle="1" w:styleId="CM7">
    <w:name w:val="CM7"/>
    <w:basedOn w:val="Default"/>
    <w:next w:val="Default"/>
    <w:uiPriority w:val="99"/>
    <w:rsid w:val="001002A4"/>
    <w:rPr>
      <w:color w:val="auto"/>
    </w:rPr>
  </w:style>
  <w:style w:type="paragraph" w:customStyle="1" w:styleId="CM8">
    <w:name w:val="CM8"/>
    <w:basedOn w:val="Default"/>
    <w:next w:val="Default"/>
    <w:uiPriority w:val="99"/>
    <w:rsid w:val="001002A4"/>
    <w:pPr>
      <w:spacing w:line="533" w:lineRule="atLeast"/>
    </w:pPr>
    <w:rPr>
      <w:color w:val="auto"/>
    </w:rPr>
  </w:style>
  <w:style w:type="paragraph" w:customStyle="1" w:styleId="CM9">
    <w:name w:val="CM9"/>
    <w:basedOn w:val="Default"/>
    <w:next w:val="Default"/>
    <w:uiPriority w:val="99"/>
    <w:rsid w:val="001002A4"/>
    <w:pPr>
      <w:spacing w:line="531" w:lineRule="atLeast"/>
    </w:pPr>
    <w:rPr>
      <w:color w:val="auto"/>
    </w:rPr>
  </w:style>
  <w:style w:type="paragraph" w:customStyle="1" w:styleId="CM10">
    <w:name w:val="CM10"/>
    <w:basedOn w:val="Default"/>
    <w:next w:val="Default"/>
    <w:uiPriority w:val="99"/>
    <w:rsid w:val="001002A4"/>
    <w:pPr>
      <w:spacing w:line="531" w:lineRule="atLeast"/>
    </w:pPr>
    <w:rPr>
      <w:color w:val="auto"/>
    </w:rPr>
  </w:style>
  <w:style w:type="paragraph" w:customStyle="1" w:styleId="CM11">
    <w:name w:val="CM11"/>
    <w:basedOn w:val="Default"/>
    <w:next w:val="Default"/>
    <w:uiPriority w:val="99"/>
    <w:rsid w:val="001002A4"/>
    <w:rPr>
      <w:color w:val="auto"/>
    </w:rPr>
  </w:style>
  <w:style w:type="paragraph" w:customStyle="1" w:styleId="CM12">
    <w:name w:val="CM12"/>
    <w:basedOn w:val="Default"/>
    <w:next w:val="Default"/>
    <w:uiPriority w:val="99"/>
    <w:rsid w:val="001002A4"/>
    <w:pPr>
      <w:spacing w:line="533" w:lineRule="atLeast"/>
    </w:pPr>
    <w:rPr>
      <w:color w:val="auto"/>
    </w:rPr>
  </w:style>
  <w:style w:type="paragraph" w:customStyle="1" w:styleId="CM38">
    <w:name w:val="CM38"/>
    <w:basedOn w:val="Default"/>
    <w:next w:val="Default"/>
    <w:uiPriority w:val="99"/>
    <w:rsid w:val="001002A4"/>
    <w:rPr>
      <w:color w:val="auto"/>
    </w:rPr>
  </w:style>
  <w:style w:type="paragraph" w:customStyle="1" w:styleId="CM13">
    <w:name w:val="CM13"/>
    <w:basedOn w:val="Default"/>
    <w:next w:val="Default"/>
    <w:uiPriority w:val="99"/>
    <w:rsid w:val="001002A4"/>
    <w:rPr>
      <w:color w:val="auto"/>
    </w:rPr>
  </w:style>
  <w:style w:type="paragraph" w:customStyle="1" w:styleId="CM14">
    <w:name w:val="CM14"/>
    <w:basedOn w:val="Default"/>
    <w:next w:val="Default"/>
    <w:uiPriority w:val="99"/>
    <w:rsid w:val="001002A4"/>
    <w:rPr>
      <w:color w:val="auto"/>
    </w:rPr>
  </w:style>
  <w:style w:type="paragraph" w:customStyle="1" w:styleId="CM15">
    <w:name w:val="CM15"/>
    <w:basedOn w:val="Default"/>
    <w:next w:val="Default"/>
    <w:uiPriority w:val="99"/>
    <w:rsid w:val="001002A4"/>
    <w:rPr>
      <w:color w:val="auto"/>
    </w:rPr>
  </w:style>
  <w:style w:type="paragraph" w:customStyle="1" w:styleId="CM16">
    <w:name w:val="CM16"/>
    <w:basedOn w:val="Default"/>
    <w:next w:val="Default"/>
    <w:uiPriority w:val="99"/>
    <w:rsid w:val="001002A4"/>
    <w:pPr>
      <w:spacing w:line="531" w:lineRule="atLeast"/>
    </w:pPr>
    <w:rPr>
      <w:color w:val="auto"/>
    </w:rPr>
  </w:style>
  <w:style w:type="paragraph" w:customStyle="1" w:styleId="CM17">
    <w:name w:val="CM17"/>
    <w:basedOn w:val="Default"/>
    <w:next w:val="Default"/>
    <w:uiPriority w:val="99"/>
    <w:rsid w:val="001002A4"/>
    <w:pPr>
      <w:spacing w:line="531" w:lineRule="atLeast"/>
    </w:pPr>
    <w:rPr>
      <w:color w:val="auto"/>
    </w:rPr>
  </w:style>
  <w:style w:type="paragraph" w:customStyle="1" w:styleId="CM18">
    <w:name w:val="CM18"/>
    <w:basedOn w:val="Default"/>
    <w:next w:val="Default"/>
    <w:uiPriority w:val="99"/>
    <w:rsid w:val="001002A4"/>
    <w:pPr>
      <w:spacing w:line="531" w:lineRule="atLeast"/>
    </w:pPr>
    <w:rPr>
      <w:color w:val="auto"/>
    </w:rPr>
  </w:style>
  <w:style w:type="paragraph" w:customStyle="1" w:styleId="CM39">
    <w:name w:val="CM39"/>
    <w:basedOn w:val="Default"/>
    <w:next w:val="Default"/>
    <w:uiPriority w:val="99"/>
    <w:rsid w:val="001002A4"/>
    <w:rPr>
      <w:color w:val="auto"/>
    </w:rPr>
  </w:style>
  <w:style w:type="paragraph" w:customStyle="1" w:styleId="CM19">
    <w:name w:val="CM19"/>
    <w:basedOn w:val="Default"/>
    <w:next w:val="Default"/>
    <w:uiPriority w:val="99"/>
    <w:rsid w:val="001002A4"/>
    <w:rPr>
      <w:color w:val="auto"/>
    </w:rPr>
  </w:style>
  <w:style w:type="paragraph" w:customStyle="1" w:styleId="CM20">
    <w:name w:val="CM20"/>
    <w:basedOn w:val="Default"/>
    <w:next w:val="Default"/>
    <w:uiPriority w:val="99"/>
    <w:rsid w:val="001002A4"/>
    <w:rPr>
      <w:color w:val="auto"/>
    </w:rPr>
  </w:style>
  <w:style w:type="paragraph" w:customStyle="1" w:styleId="CM21">
    <w:name w:val="CM21"/>
    <w:basedOn w:val="Default"/>
    <w:next w:val="Default"/>
    <w:uiPriority w:val="99"/>
    <w:rsid w:val="001002A4"/>
    <w:rPr>
      <w:color w:val="auto"/>
    </w:rPr>
  </w:style>
  <w:style w:type="paragraph" w:customStyle="1" w:styleId="CM22">
    <w:name w:val="CM22"/>
    <w:basedOn w:val="Default"/>
    <w:next w:val="Default"/>
    <w:uiPriority w:val="99"/>
    <w:rsid w:val="001002A4"/>
    <w:pPr>
      <w:spacing w:line="266" w:lineRule="atLeast"/>
    </w:pPr>
    <w:rPr>
      <w:color w:val="auto"/>
    </w:rPr>
  </w:style>
  <w:style w:type="paragraph" w:customStyle="1" w:styleId="CM23">
    <w:name w:val="CM23"/>
    <w:basedOn w:val="Default"/>
    <w:next w:val="Default"/>
    <w:uiPriority w:val="99"/>
    <w:rsid w:val="001002A4"/>
    <w:pPr>
      <w:spacing w:line="271" w:lineRule="atLeast"/>
    </w:pPr>
    <w:rPr>
      <w:color w:val="auto"/>
    </w:rPr>
  </w:style>
  <w:style w:type="paragraph" w:customStyle="1" w:styleId="CM24">
    <w:name w:val="CM24"/>
    <w:basedOn w:val="Default"/>
    <w:next w:val="Default"/>
    <w:uiPriority w:val="99"/>
    <w:rsid w:val="001002A4"/>
    <w:pPr>
      <w:spacing w:line="266" w:lineRule="atLeast"/>
    </w:pPr>
    <w:rPr>
      <w:color w:val="auto"/>
    </w:rPr>
  </w:style>
  <w:style w:type="paragraph" w:customStyle="1" w:styleId="CM40">
    <w:name w:val="CM40"/>
    <w:basedOn w:val="Default"/>
    <w:next w:val="Default"/>
    <w:uiPriority w:val="99"/>
    <w:rsid w:val="001002A4"/>
    <w:rPr>
      <w:color w:val="auto"/>
    </w:rPr>
  </w:style>
  <w:style w:type="paragraph" w:customStyle="1" w:styleId="CM25">
    <w:name w:val="CM25"/>
    <w:basedOn w:val="Default"/>
    <w:next w:val="Default"/>
    <w:uiPriority w:val="99"/>
    <w:rsid w:val="001002A4"/>
    <w:pPr>
      <w:spacing w:line="268" w:lineRule="atLeast"/>
    </w:pPr>
    <w:rPr>
      <w:color w:val="auto"/>
    </w:rPr>
  </w:style>
  <w:style w:type="paragraph" w:customStyle="1" w:styleId="CM43">
    <w:name w:val="CM43"/>
    <w:basedOn w:val="Default"/>
    <w:next w:val="Default"/>
    <w:uiPriority w:val="99"/>
    <w:rsid w:val="001002A4"/>
    <w:rPr>
      <w:color w:val="auto"/>
    </w:rPr>
  </w:style>
  <w:style w:type="paragraph" w:customStyle="1" w:styleId="CM44">
    <w:name w:val="CM44"/>
    <w:basedOn w:val="Default"/>
    <w:next w:val="Default"/>
    <w:uiPriority w:val="99"/>
    <w:rsid w:val="001002A4"/>
    <w:rPr>
      <w:color w:val="auto"/>
    </w:rPr>
  </w:style>
  <w:style w:type="paragraph" w:customStyle="1" w:styleId="CM33">
    <w:name w:val="CM33"/>
    <w:basedOn w:val="Default"/>
    <w:next w:val="Default"/>
    <w:uiPriority w:val="99"/>
    <w:rsid w:val="001002A4"/>
    <w:pPr>
      <w:spacing w:line="266" w:lineRule="atLeast"/>
    </w:pPr>
    <w:rPr>
      <w:color w:val="auto"/>
    </w:rPr>
  </w:style>
  <w:style w:type="paragraph" w:styleId="NoSpacing">
    <w:name w:val="No Spacing"/>
    <w:uiPriority w:val="1"/>
    <w:qFormat/>
    <w:rsid w:val="00CC0116"/>
    <w:rPr>
      <w:rFonts w:cs="Times New Roman"/>
      <w:sz w:val="22"/>
      <w:szCs w:val="22"/>
    </w:rPr>
  </w:style>
  <w:style w:type="paragraph" w:styleId="Header">
    <w:name w:val="header"/>
    <w:basedOn w:val="Normal"/>
    <w:link w:val="HeaderChar"/>
    <w:uiPriority w:val="99"/>
    <w:semiHidden/>
    <w:unhideWhenUsed/>
    <w:rsid w:val="00CC0116"/>
    <w:pPr>
      <w:tabs>
        <w:tab w:val="center" w:pos="4680"/>
        <w:tab w:val="right" w:pos="9360"/>
      </w:tabs>
    </w:pPr>
  </w:style>
  <w:style w:type="character" w:customStyle="1" w:styleId="HeaderChar">
    <w:name w:val="Header Char"/>
    <w:basedOn w:val="DefaultParagraphFont"/>
    <w:link w:val="Header"/>
    <w:uiPriority w:val="99"/>
    <w:semiHidden/>
    <w:locked/>
    <w:rsid w:val="00CC0116"/>
    <w:rPr>
      <w:rFonts w:cs="Times New Roman"/>
    </w:rPr>
  </w:style>
  <w:style w:type="paragraph" w:styleId="Footer">
    <w:name w:val="footer"/>
    <w:basedOn w:val="Normal"/>
    <w:link w:val="FooterChar"/>
    <w:uiPriority w:val="99"/>
    <w:unhideWhenUsed/>
    <w:rsid w:val="00CC0116"/>
    <w:pPr>
      <w:tabs>
        <w:tab w:val="center" w:pos="4680"/>
        <w:tab w:val="right" w:pos="9360"/>
      </w:tabs>
    </w:pPr>
  </w:style>
  <w:style w:type="character" w:customStyle="1" w:styleId="FooterChar">
    <w:name w:val="Footer Char"/>
    <w:basedOn w:val="DefaultParagraphFont"/>
    <w:link w:val="Footer"/>
    <w:uiPriority w:val="99"/>
    <w:locked/>
    <w:rsid w:val="00CC0116"/>
    <w:rPr>
      <w:rFonts w:cs="Times New Roman"/>
    </w:rPr>
  </w:style>
  <w:style w:type="paragraph" w:styleId="BalloonText">
    <w:name w:val="Balloon Text"/>
    <w:basedOn w:val="Normal"/>
    <w:link w:val="BalloonTextChar"/>
    <w:uiPriority w:val="99"/>
    <w:semiHidden/>
    <w:unhideWhenUsed/>
    <w:rsid w:val="00CC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116"/>
    <w:rPr>
      <w:rFonts w:ascii="Tahoma" w:hAnsi="Tahoma" w:cs="Tahoma"/>
      <w:sz w:val="16"/>
      <w:szCs w:val="16"/>
    </w:rPr>
  </w:style>
  <w:style w:type="character" w:styleId="Hyperlink">
    <w:name w:val="Hyperlink"/>
    <w:basedOn w:val="DefaultParagraphFont"/>
    <w:uiPriority w:val="99"/>
    <w:unhideWhenUsed/>
    <w:rsid w:val="00675877"/>
    <w:rPr>
      <w:rFonts w:cs="Times New Roman"/>
      <w:color w:val="0000FF" w:themeColor="hyperlink"/>
      <w:u w:val="single"/>
    </w:rPr>
  </w:style>
  <w:style w:type="paragraph" w:styleId="ListParagraph">
    <w:name w:val="List Paragraph"/>
    <w:basedOn w:val="Normal"/>
    <w:uiPriority w:val="34"/>
    <w:qFormat/>
    <w:rsid w:val="002473E6"/>
    <w:pPr>
      <w:ind w:left="720"/>
      <w:contextualSpacing/>
    </w:pPr>
  </w:style>
  <w:style w:type="character" w:styleId="CommentReference">
    <w:name w:val="annotation reference"/>
    <w:basedOn w:val="DefaultParagraphFont"/>
    <w:uiPriority w:val="99"/>
    <w:semiHidden/>
    <w:unhideWhenUsed/>
    <w:rsid w:val="005827C4"/>
    <w:rPr>
      <w:sz w:val="16"/>
      <w:szCs w:val="16"/>
    </w:rPr>
  </w:style>
  <w:style w:type="paragraph" w:styleId="CommentText">
    <w:name w:val="annotation text"/>
    <w:basedOn w:val="Normal"/>
    <w:link w:val="CommentTextChar"/>
    <w:uiPriority w:val="99"/>
    <w:semiHidden/>
    <w:unhideWhenUsed/>
    <w:rsid w:val="005827C4"/>
    <w:pPr>
      <w:spacing w:line="240" w:lineRule="auto"/>
    </w:pPr>
    <w:rPr>
      <w:sz w:val="20"/>
      <w:szCs w:val="20"/>
    </w:rPr>
  </w:style>
  <w:style w:type="character" w:customStyle="1" w:styleId="CommentTextChar">
    <w:name w:val="Comment Text Char"/>
    <w:basedOn w:val="DefaultParagraphFont"/>
    <w:link w:val="CommentText"/>
    <w:uiPriority w:val="99"/>
    <w:semiHidden/>
    <w:rsid w:val="005827C4"/>
    <w:rPr>
      <w:rFonts w:cs="Times New Roman"/>
    </w:rPr>
  </w:style>
  <w:style w:type="paragraph" w:styleId="CommentSubject">
    <w:name w:val="annotation subject"/>
    <w:basedOn w:val="CommentText"/>
    <w:next w:val="CommentText"/>
    <w:link w:val="CommentSubjectChar"/>
    <w:uiPriority w:val="99"/>
    <w:semiHidden/>
    <w:unhideWhenUsed/>
    <w:rsid w:val="005827C4"/>
    <w:rPr>
      <w:b/>
      <w:bCs/>
    </w:rPr>
  </w:style>
  <w:style w:type="character" w:customStyle="1" w:styleId="CommentSubjectChar">
    <w:name w:val="Comment Subject Char"/>
    <w:basedOn w:val="CommentTextChar"/>
    <w:link w:val="CommentSubject"/>
    <w:uiPriority w:val="99"/>
    <w:semiHidden/>
    <w:rsid w:val="005827C4"/>
    <w:rPr>
      <w:b/>
      <w:bCs/>
    </w:rPr>
  </w:style>
</w:styles>
</file>

<file path=word/webSettings.xml><?xml version="1.0" encoding="utf-8"?>
<w:webSettings xmlns:r="http://schemas.openxmlformats.org/officeDocument/2006/relationships" xmlns:w="http://schemas.openxmlformats.org/wordprocessingml/2006/main">
  <w:divs>
    <w:div w:id="804278266">
      <w:bodyDiv w:val="1"/>
      <w:marLeft w:val="0"/>
      <w:marRight w:val="0"/>
      <w:marTop w:val="0"/>
      <w:marBottom w:val="0"/>
      <w:divBdr>
        <w:top w:val="none" w:sz="0" w:space="0" w:color="auto"/>
        <w:left w:val="none" w:sz="0" w:space="0" w:color="auto"/>
        <w:bottom w:val="none" w:sz="0" w:space="0" w:color="auto"/>
        <w:right w:val="none" w:sz="0" w:space="0" w:color="auto"/>
      </w:divBdr>
    </w:div>
    <w:div w:id="922569007">
      <w:bodyDiv w:val="1"/>
      <w:marLeft w:val="0"/>
      <w:marRight w:val="0"/>
      <w:marTop w:val="0"/>
      <w:marBottom w:val="0"/>
      <w:divBdr>
        <w:top w:val="none" w:sz="0" w:space="0" w:color="auto"/>
        <w:left w:val="none" w:sz="0" w:space="0" w:color="auto"/>
        <w:bottom w:val="none" w:sz="0" w:space="0" w:color="auto"/>
        <w:right w:val="none" w:sz="0" w:space="0" w:color="auto"/>
      </w:divBdr>
    </w:div>
    <w:div w:id="1599633476">
      <w:bodyDiv w:val="1"/>
      <w:marLeft w:val="0"/>
      <w:marRight w:val="0"/>
      <w:marTop w:val="0"/>
      <w:marBottom w:val="0"/>
      <w:divBdr>
        <w:top w:val="none" w:sz="0" w:space="0" w:color="auto"/>
        <w:left w:val="none" w:sz="0" w:space="0" w:color="auto"/>
        <w:bottom w:val="none" w:sz="0" w:space="0" w:color="auto"/>
        <w:right w:val="none" w:sz="0" w:space="0" w:color="auto"/>
      </w:divBdr>
    </w:div>
    <w:div w:id="18989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landosentin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BF6B-D5EA-4665-A64C-AA116915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TxCPA</dc:creator>
  <cp:lastModifiedBy>Alex</cp:lastModifiedBy>
  <cp:revision>2</cp:revision>
  <cp:lastPrinted>2010-03-30T13:14:00Z</cp:lastPrinted>
  <dcterms:created xsi:type="dcterms:W3CDTF">2012-03-20T14:14:00Z</dcterms:created>
  <dcterms:modified xsi:type="dcterms:W3CDTF">2012-03-20T14:14:00Z</dcterms:modified>
</cp:coreProperties>
</file>