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F65" w:rsidRDefault="005F6F65"/>
    <w:p w:rsidR="005F6F65" w:rsidRDefault="005F6F65">
      <w:r>
        <w:rPr>
          <w:noProof/>
        </w:rPr>
        <w:pict>
          <v:group id="_x0000_s1026" style="position:absolute;margin-left:0;margin-top:0;width:611.95pt;height:9in;z-index:251658240;mso-position-horizontal:center;mso-position-horizontal-relative:page;mso-position-vertical:center;mso-position-vertical-relative:margin" coordorigin=",1440" coordsize="12239,12960" o:allowincell="f">
            <v:group id="_x0000_s1027" style="position:absolute;top:9661;width:12239;height:4739;mso-position-horizontal:center;mso-position-horizontal-relative:margin;mso-position-vertical:bottom;mso-position-vertical-relative:margin" coordorigin="-6,3399" coordsize="12197,4253">
              <v:group id="_x0000_s1028" style="position:absolute;left:-6;top:3717;width:12189;height:3550" coordorigin="18,7468" coordsize="12189,3550">
                <v:shape id="_x0000_s1029" style="position:absolute;left:18;top:7837;width:7132;height:2863" coordsize="7132,2863" path="m,l17,2863,7132,2578r,-2378l,xe" fillcolor="#a7bfde" stroked="f">
                  <v:fill opacity=".5"/>
                  <v:path arrowok="t"/>
                </v:shape>
                <v:shape id="_x0000_s1030" style="position:absolute;left:7150;top:7468;width:3466;height:3550" coordsize="3466,3550" path="m,569l,2930r3466,620l3466,,,569xe" fillcolor="#d3dfee" stroked="f">
                  <v:fill opacity=".5"/>
                  <v:path arrowok="t"/>
                </v:shape>
                <v:shape id="_x0000_s1031" style="position:absolute;left:10616;top:7468;width:1591;height:3550" coordsize="1591,3550" path="m,l,3550,1591,2746r,-2009l,xe" fillcolor="#a7bfde" stroked="f">
                  <v:fill opacity=".5"/>
                  <v:path arrowok="t"/>
                </v:shape>
              </v:group>
              <v:shape id="_x0000_s1032" style="position:absolute;left:8071;top:4069;width:4120;height:2913" coordsize="4120,2913" path="m1,251l,2662r4120,251l4120,,1,251xe" fillcolor="#d8d8d8" stroked="f">
                <v:path arrowok="t"/>
              </v:shape>
              <v:shape id="_x0000_s1033" style="position:absolute;left:4104;top:3399;width:3985;height:4236" coordsize="3985,4236" path="m,l,4236,3985,3349r,-2428l,xe" fillcolor="#bfbfbf" stroked="f">
                <v:path arrowok="t"/>
              </v:shape>
              <v:shape id="_x0000_s1034" style="position:absolute;left:18;top:3399;width:4086;height:4253" coordsize="4086,4253" path="m4086,r-2,4253l,3198,,1072,4086,xe" fillcolor="#d8d8d8" stroked="f">
                <v:path arrowok="t"/>
              </v:shape>
              <v:shape id="_x0000_s1035" style="position:absolute;left:17;top:3617;width:2076;height:3851" coordsize="2076,3851" path="m,921l2060,r16,3851l,2981,,921xe" fillcolor="#d3dfee" stroked="f">
                <v:fill opacity="45875f"/>
                <v:path arrowok="t"/>
              </v:shape>
              <v:shape id="_x0000_s1036" style="position:absolute;left:2077;top:3617;width:6011;height:3835" coordsize="6011,3835" path="m,l17,3835,6011,2629r,-1390l,xe" fillcolor="#a7bfde" stroked="f">
                <v:fill opacity="45875f"/>
                <v:path arrowok="t"/>
              </v:shape>
              <v:shape id="_x0000_s1037" style="position:absolute;left:8088;top:3835;width:4102;height:3432" coordsize="4102,3432" path="m,1038l,2411,4102,3432,4102,,,1038xe" fillcolor="#d3dfee" stroked="f">
                <v:fill opacity="45875f"/>
                <v:path arrowok="t"/>
              </v:shape>
            </v:group>
            <v:rect id="_x0000_s1038" style="position:absolute;left:1800;top:1440;width:8638;height:1042;mso-position-horizontal:center;mso-position-horizontal-relative:margin;mso-position-vertical:top;mso-position-vertical-relative:margin" filled="f" stroked="f">
              <v:textbox style="mso-next-textbox:#_x0000_s1038;mso-fit-shape-to-text:t">
                <w:txbxContent>
                  <w:p w:rsidR="005F6F65" w:rsidRPr="00FA0D2D" w:rsidRDefault="005F6F65">
                    <w:pPr>
                      <w:spacing w:after="0"/>
                      <w:rPr>
                        <w:b/>
                        <w:bCs/>
                        <w:color w:val="808080"/>
                        <w:sz w:val="32"/>
                        <w:szCs w:val="32"/>
                      </w:rPr>
                    </w:pPr>
                    <w:r w:rsidRPr="00FA0D2D">
                      <w:rPr>
                        <w:b/>
                        <w:bCs/>
                        <w:color w:val="808080"/>
                        <w:sz w:val="32"/>
                        <w:szCs w:val="32"/>
                      </w:rPr>
                      <w:t>Concord Township</w:t>
                    </w:r>
                  </w:p>
                  <w:p w:rsidR="005F6F65" w:rsidRPr="00FA0D2D" w:rsidRDefault="005F6F65">
                    <w:pPr>
                      <w:spacing w:after="0"/>
                      <w:rPr>
                        <w:b/>
                        <w:bCs/>
                        <w:color w:val="808080"/>
                        <w:sz w:val="32"/>
                        <w:szCs w:val="32"/>
                      </w:rPr>
                    </w:pPr>
                  </w:p>
                </w:txbxContent>
              </v:textbox>
            </v:rect>
            <v:rect id="_x0000_s1039" style="position:absolute;left:6494;top:11160;width:4998;height:737;mso-position-horizontal-relative:margin;mso-position-vertical-relative:margin" filled="f" stroked="f">
              <v:textbox style="mso-next-textbox:#_x0000_s1039;mso-fit-shape-to-text:t">
                <w:txbxContent>
                  <w:p w:rsidR="005F6F65" w:rsidRDefault="005F6F65">
                    <w:pPr>
                      <w:jc w:val="right"/>
                      <w:rPr>
                        <w:sz w:val="96"/>
                        <w:szCs w:val="96"/>
                      </w:rPr>
                    </w:pPr>
                    <w:r>
                      <w:rPr>
                        <w:sz w:val="28"/>
                        <w:szCs w:val="28"/>
                      </w:rPr>
                      <w:t>20</w:t>
                    </w:r>
                    <w:r w:rsidRPr="00741C0D">
                      <w:rPr>
                        <w:sz w:val="28"/>
                        <w:szCs w:val="28"/>
                      </w:rPr>
                      <w:t>10</w:t>
                    </w:r>
                  </w:p>
                </w:txbxContent>
              </v:textbox>
            </v:rect>
            <v:rect id="_x0000_s1040" style="position:absolute;left:1800;top:2294;width:8638;height:7268;mso-position-horizontal:center;mso-position-horizontal-relative:margin;mso-position-vertical-relative:margin;v-text-anchor:bottom" filled="f" stroked="f">
              <v:textbox style="mso-next-textbox:#_x0000_s1040">
                <w:txbxContent>
                  <w:p w:rsidR="005F6F65" w:rsidRPr="00FA0D2D" w:rsidRDefault="005F6F65" w:rsidP="00741C0D">
                    <w:pPr>
                      <w:spacing w:after="0"/>
                      <w:jc w:val="center"/>
                      <w:rPr>
                        <w:b/>
                        <w:bCs/>
                        <w:color w:val="1F497D"/>
                        <w:sz w:val="72"/>
                        <w:szCs w:val="72"/>
                      </w:rPr>
                    </w:pPr>
                    <w:r w:rsidRPr="00FA0D2D">
                      <w:rPr>
                        <w:b/>
                        <w:bCs/>
                        <w:color w:val="1F497D"/>
                        <w:sz w:val="72"/>
                        <w:szCs w:val="72"/>
                      </w:rPr>
                      <w:t>Overcoming Cultural Barriers Towards Regionalism</w:t>
                    </w:r>
                  </w:p>
                  <w:p w:rsidR="005F6F65" w:rsidRPr="00FA0D2D" w:rsidRDefault="005F6F65">
                    <w:pPr>
                      <w:rPr>
                        <w:b/>
                        <w:bCs/>
                        <w:color w:val="4F81BD"/>
                        <w:sz w:val="40"/>
                        <w:szCs w:val="40"/>
                      </w:rPr>
                    </w:pPr>
                    <w:r w:rsidRPr="00FA0D2D">
                      <w:rPr>
                        <w:b/>
                        <w:bCs/>
                        <w:color w:val="4F81BD"/>
                        <w:sz w:val="40"/>
                        <w:szCs w:val="40"/>
                      </w:rPr>
                      <w:t>Understanding Your Partner</w:t>
                    </w:r>
                  </w:p>
                  <w:p w:rsidR="005F6F65" w:rsidRPr="00FA0D2D" w:rsidRDefault="005F6F65">
                    <w:pPr>
                      <w:rPr>
                        <w:b/>
                        <w:bCs/>
                        <w:color w:val="808080"/>
                        <w:sz w:val="32"/>
                        <w:szCs w:val="32"/>
                      </w:rPr>
                    </w:pPr>
                    <w:r w:rsidRPr="00FA0D2D">
                      <w:rPr>
                        <w:b/>
                        <w:bCs/>
                        <w:color w:val="808080"/>
                        <w:sz w:val="32"/>
                        <w:szCs w:val="32"/>
                      </w:rPr>
                      <w:t>Jack J. Nettis, Jr.</w:t>
                    </w:r>
                  </w:p>
                  <w:p w:rsidR="005F6F65" w:rsidRPr="00FA0D2D" w:rsidRDefault="005F6F65">
                    <w:pPr>
                      <w:rPr>
                        <w:b/>
                        <w:bCs/>
                        <w:color w:val="808080"/>
                        <w:sz w:val="32"/>
                        <w:szCs w:val="32"/>
                      </w:rPr>
                    </w:pPr>
                    <w:r w:rsidRPr="00FA0D2D">
                      <w:rPr>
                        <w:b/>
                        <w:bCs/>
                        <w:color w:val="808080"/>
                        <w:sz w:val="32"/>
                        <w:szCs w:val="32"/>
                      </w:rPr>
                      <w:t>Administrator Concord Township</w:t>
                    </w:r>
                  </w:p>
                </w:txbxContent>
              </v:textbox>
            </v:rect>
            <w10:wrap anchorx="page" anchory="margin"/>
          </v:group>
        </w:pict>
      </w:r>
    </w:p>
    <w:p w:rsidR="005F6F65" w:rsidRDefault="005F6F65">
      <w:pPr>
        <w:rPr>
          <w:b/>
          <w:bCs/>
          <w:sz w:val="28"/>
          <w:szCs w:val="28"/>
        </w:rPr>
      </w:pPr>
      <w:r>
        <w:rPr>
          <w:b/>
          <w:bCs/>
          <w:sz w:val="28"/>
          <w:szCs w:val="28"/>
        </w:rPr>
        <w:br w:type="page"/>
      </w:r>
    </w:p>
    <w:p w:rsidR="005F6F65" w:rsidRDefault="005F6F65" w:rsidP="00D66108">
      <w:pPr>
        <w:rPr>
          <w:b/>
          <w:bCs/>
          <w:sz w:val="28"/>
          <w:szCs w:val="28"/>
        </w:rPr>
      </w:pPr>
    </w:p>
    <w:p w:rsidR="005F6F65" w:rsidRDefault="005F6F65" w:rsidP="00D66108">
      <w:pPr>
        <w:rPr>
          <w:b/>
          <w:bCs/>
          <w:sz w:val="28"/>
          <w:szCs w:val="28"/>
        </w:rPr>
      </w:pPr>
    </w:p>
    <w:p w:rsidR="005F6F65" w:rsidRPr="00393FC7" w:rsidRDefault="005F6F65" w:rsidP="00D66108">
      <w:pPr>
        <w:rPr>
          <w:b/>
          <w:bCs/>
          <w:sz w:val="28"/>
          <w:szCs w:val="28"/>
        </w:rPr>
      </w:pPr>
      <w:r w:rsidRPr="00393FC7">
        <w:rPr>
          <w:b/>
          <w:bCs/>
          <w:sz w:val="28"/>
          <w:szCs w:val="28"/>
        </w:rPr>
        <w:t>Cover Sheet Information</w:t>
      </w:r>
    </w:p>
    <w:p w:rsidR="005F6F65" w:rsidRDefault="005F6F65" w:rsidP="00D66108">
      <w:r>
        <w:t>Case Study Title:</w:t>
      </w:r>
      <w:r>
        <w:tab/>
        <w:t>Overcoming Cultural Barriers Towards Regionalism</w:t>
      </w:r>
    </w:p>
    <w:p w:rsidR="005F6F65" w:rsidRDefault="005F6F65" w:rsidP="00D66108">
      <w:r>
        <w:t>Jurisdiction Name:</w:t>
      </w:r>
      <w:r>
        <w:tab/>
        <w:t>Concord Township, Lake County, Ohio</w:t>
      </w:r>
    </w:p>
    <w:p w:rsidR="005F6F65" w:rsidRDefault="005F6F65" w:rsidP="00D66108">
      <w:r>
        <w:t>Township Administrator:   Jack J. Nettis, Jr.</w:t>
      </w:r>
    </w:p>
    <w:p w:rsidR="005F6F65" w:rsidRDefault="005F6F65" w:rsidP="00D66108">
      <w:pPr>
        <w:rPr>
          <w:b/>
          <w:bCs/>
        </w:rPr>
      </w:pPr>
    </w:p>
    <w:p w:rsidR="005F6F65" w:rsidRPr="003720C3" w:rsidRDefault="005F6F65" w:rsidP="00D66108">
      <w:pPr>
        <w:rPr>
          <w:b/>
          <w:bCs/>
        </w:rPr>
      </w:pPr>
      <w:r w:rsidRPr="003720C3">
        <w:rPr>
          <w:b/>
          <w:bCs/>
        </w:rPr>
        <w:t>Project Leader – Primary Contact</w:t>
      </w:r>
      <w:r>
        <w:rPr>
          <w:b/>
          <w:bCs/>
        </w:rPr>
        <w:t>/Presenting Team Member</w:t>
      </w:r>
    </w:p>
    <w:p w:rsidR="005F6F65" w:rsidRDefault="005F6F65" w:rsidP="00D66108">
      <w:r>
        <w:t>Name:  Jack J. Nettis, Jr.</w:t>
      </w:r>
    </w:p>
    <w:p w:rsidR="005F6F65" w:rsidRDefault="005F6F65" w:rsidP="00D66108">
      <w:r>
        <w:t>Title:  Administrator</w:t>
      </w:r>
    </w:p>
    <w:p w:rsidR="005F6F65" w:rsidRDefault="005F6F65" w:rsidP="00D66108">
      <w:r>
        <w:t>Phone Number:  440-354-7500</w:t>
      </w:r>
    </w:p>
    <w:p w:rsidR="005F6F65" w:rsidRDefault="005F6F65" w:rsidP="00D66108">
      <w:r>
        <w:t xml:space="preserve">Email:  </w:t>
      </w:r>
      <w:hyperlink r:id="rId5" w:history="1">
        <w:r w:rsidRPr="00AE1512">
          <w:rPr>
            <w:rStyle w:val="Hyperlink"/>
          </w:rPr>
          <w:t>jnettis@concordtwp.com</w:t>
        </w:r>
      </w:hyperlink>
      <w:r>
        <w:t xml:space="preserve">  or </w:t>
      </w:r>
      <w:hyperlink r:id="rId6" w:history="1">
        <w:r w:rsidRPr="00AE1512">
          <w:rPr>
            <w:rStyle w:val="Hyperlink"/>
          </w:rPr>
          <w:t>jnettis@sbcglobal.net</w:t>
        </w:r>
      </w:hyperlink>
    </w:p>
    <w:p w:rsidR="005F6F65" w:rsidRDefault="005F6F65" w:rsidP="00D66108">
      <w:r>
        <w:t>Address:  Concord Town Hall</w:t>
      </w:r>
    </w:p>
    <w:p w:rsidR="005F6F65" w:rsidRDefault="005F6F65" w:rsidP="00D66108">
      <w:r>
        <w:tab/>
        <w:t>Attn:  Jack Nettis</w:t>
      </w:r>
    </w:p>
    <w:p w:rsidR="005F6F65" w:rsidRDefault="005F6F65" w:rsidP="00D66108">
      <w:r>
        <w:tab/>
        <w:t>7229 Ravenna Rd.</w:t>
      </w:r>
    </w:p>
    <w:p w:rsidR="005F6F65" w:rsidRDefault="005F6F65" w:rsidP="00D66108">
      <w:r>
        <w:tab/>
        <w:t>Concord Township, OH 44077</w:t>
      </w:r>
    </w:p>
    <w:p w:rsidR="005F6F65" w:rsidRDefault="005F6F65" w:rsidP="00D66108"/>
    <w:p w:rsidR="005F6F65" w:rsidRDefault="005F6F65" w:rsidP="00D66108">
      <w:pPr>
        <w:rPr>
          <w:b/>
          <w:bCs/>
        </w:rPr>
      </w:pPr>
      <w:r w:rsidRPr="003720C3">
        <w:rPr>
          <w:b/>
          <w:bCs/>
        </w:rPr>
        <w:t>Presenting Team Member</w:t>
      </w:r>
    </w:p>
    <w:p w:rsidR="005F6F65" w:rsidRDefault="005F6F65" w:rsidP="00D66108">
      <w:pPr>
        <w:rPr>
          <w:b/>
          <w:bCs/>
        </w:rPr>
      </w:pPr>
      <w:r>
        <w:rPr>
          <w:b/>
          <w:bCs/>
        </w:rPr>
        <w:t>Same as above</w:t>
      </w:r>
    </w:p>
    <w:p w:rsidR="005F6F65" w:rsidRDefault="005F6F65" w:rsidP="00D66108">
      <w:pPr>
        <w:rPr>
          <w:b/>
          <w:bCs/>
        </w:rPr>
      </w:pPr>
    </w:p>
    <w:p w:rsidR="005F6F65" w:rsidRDefault="005F6F65" w:rsidP="00D66108">
      <w:pPr>
        <w:rPr>
          <w:b/>
          <w:bCs/>
        </w:rPr>
      </w:pPr>
      <w:r>
        <w:rPr>
          <w:b/>
          <w:bCs/>
        </w:rPr>
        <w:br w:type="page"/>
      </w:r>
    </w:p>
    <w:p w:rsidR="005F6F65" w:rsidRDefault="005F6F65" w:rsidP="00D66108">
      <w:pPr>
        <w:rPr>
          <w:b/>
          <w:bCs/>
        </w:rPr>
      </w:pPr>
      <w:r>
        <w:rPr>
          <w:b/>
          <w:bCs/>
        </w:rPr>
        <w:t>Synopsis</w:t>
      </w:r>
    </w:p>
    <w:p w:rsidR="005F6F65" w:rsidRDefault="005F6F65" w:rsidP="00D66108">
      <w:r>
        <w:t xml:space="preserve">In 2004 Concord Township, a community of approximately 19,500 residents was approached by a regional hospital system to build a new hospital on a 40 acre greenfield site.  The Township Trustees willingly supported the necessary referendum for the new hospital. The referendum passed and the regional hospital system moved forward with its building plans. The new hospital was actually the move of an existing hospital from a contiguous, neighboring community.  This was being done without any initial compensation to the community.  The move of this hospital to Concord Township would become an anchor site of a mile-long corridor at a key area for development.  This move prompted another competitive larger hospital system to secretly purchase an adjoining property to place an outpatient facility.  </w:t>
      </w:r>
    </w:p>
    <w:p w:rsidR="005F6F65" w:rsidRDefault="005F6F65" w:rsidP="00D66108">
      <w:r>
        <w:t>While both would make for great anchors in this corridor, it also meant increased pressures upon the Township to provide the necessary improvements to its infrastructure and to provide the increased daily services.  Increasing the fiscal pressure upon the Township was a loss of revenue due to the establishment of these facilities.  In Ohio townships derive the majority of their income through property taxes.  These two new facilities were non-profit in nature and; therefore, would not be paying any property taxes for their main operations, only those facilities operated on a for-profit basis, such as rented doctors’ offices.</w:t>
      </w:r>
    </w:p>
    <w:p w:rsidR="005F6F65" w:rsidRDefault="005F6F65" w:rsidP="00D66108">
      <w:r>
        <w:t>The Township decided to embark upon a vehicle to restore a degree of revenue through a Joint Economic Development District (JEDD).  The State of Ohio does not permit Townships to directly impose a personal income tax.  Townships are unincorporated communities which only have the powers expressly permitted to them through Ohio law.  However, through a JEDD a Township may partner with an incorporated municipality and create a partnership in a designated territory to be known as a JEDD which then would fall under the taxing authority of permitted to incorporated municipality.  Through the partnership negotiations would apportion the personal income tax between the partners as negotiated through a contract.</w:t>
      </w:r>
    </w:p>
    <w:p w:rsidR="005F6F65" w:rsidRDefault="005F6F65" w:rsidP="00D66108">
      <w:r>
        <w:t>Concord Township had its choice of no less than six communities with which it could partner.  The Board of Trustees decided to first approach the adjacent neighbor, the City of Painesville.  This was the City that would be impacted by the loss of the hospital when it moved to Concord Township.  In a desire to be a good neighbor, Concord wanted to first approach Painesville.  It was also felt that through the JEDD Painesville would be able restore a portion of its lost revenue from the hospital.  This restoration would be important to the City.</w:t>
      </w:r>
    </w:p>
    <w:p w:rsidR="005F6F65" w:rsidRDefault="005F6F65" w:rsidP="00D66108">
      <w:r>
        <w:t xml:space="preserve">Approaching the City of Painesville was not as easy of a decision as it may have seemed.  The two communities, Concord Township and Painesville, had been neighbors for approximately 180 years but they were miles apart culturally.  Painesville represented a small urban community, the county seat.  Concord Township had been a rural community until the 1960s and then evolved into a semi-rural community through the 1990s.  By the new millennium Concord was evolving into a suburban community.  This transition for Concord caused cultural schisms within its own borders as some </w:t>
      </w:r>
    </w:p>
    <w:p w:rsidR="005F6F65" w:rsidRDefault="005F6F65" w:rsidP="00D66108">
      <w:r>
        <w:t>long-time residents still saw themselves and the community as being semi-rural at least, independent and resistant to development.  Newer residents coming from nearby suburban communities brought the incorporated cities’ culture of much higher levels of services accompanied with higher levels of taxation and, especially, greater commercial development.</w:t>
      </w:r>
    </w:p>
    <w:p w:rsidR="005F6F65" w:rsidRDefault="005F6F65" w:rsidP="00D66108">
      <w:r>
        <w:t>The cultural schism from within Concord also pitted those who had no preconceived notions of dealing with Painesville against those long-time residents who were resistant to any association and cooperation with their urban neighbor.  These attitudes were not without recent instigation by the City of Painesville.  Within the past decade the City had annexed small portions of Concord Township and a very large area of another neighboring Township.  Annexation is permitted by Ohio law of contiguous properties between communities.  Annexation is also a great fear of most Townships.  This fear was further compounded by a report within the decade by the Painesville City Manager to Council calling for even greater efforts towards annexation.</w:t>
      </w:r>
    </w:p>
    <w:p w:rsidR="005F6F65" w:rsidRDefault="005F6F65" w:rsidP="00D66108">
      <w:r>
        <w:t>The Concord Township’s Board of Trustees approved of a one-on-one approach by its Administrator and the City Manager of the City of Painesville.  After two meetings the Administrator was able to identify areas of interest by the City Manager and determined a level of trust. This all occurred in late summer early fall 2007.  By December 2007 the Township approved of a single Trustee and the Administrator to meet with the Council President and the City Manager to conduct substantive discussions towards a JEDD.  By April 2008, the Board of Trustees of Concord Township and the City of Painesville had separately agreed to the foundation for a JEDD agreement.  Over the next five months the agreement was refined and by the Fall it was registered with the State of Ohio.</w:t>
      </w:r>
    </w:p>
    <w:p w:rsidR="005F6F65" w:rsidRDefault="005F6F65" w:rsidP="00D66108">
      <w:r>
        <w:t>Critical to agreement was the identification of points of interest to both parties, the “What’s in it for me”(WIFMs).   Once these were clarified each party was more secure in its position.  It allowed for the bridging of the cultures.  Annexation was forestalled by the JEDD agreement for a period of 20 years with four additional contract periods – effectively protecting the Township from any annexation for the next 100 years.</w:t>
      </w:r>
    </w:p>
    <w:p w:rsidR="005F6F65" w:rsidRDefault="005F6F65" w:rsidP="00D66108">
      <w:r>
        <w:t>Another WIFM for the Township was not to just make this a grab for tax revenue but to also create incentives for business.  Both parties identified an incentive that had become of great concern to businesses – access to reasonably priced electricity.  The City of Painesville has its own electric power plant.  However, they are constrained by how much out-of-city electric power they can provide.  By partnering with the JEDD, this effectively increased their in-City power customers allowing themselves sell more to out-of-city customers (once they extend electricity to the JEDD).  JEDD businesses and new ones added in the future could expect a 20-30% reduction in their electricity costs as compared to current supplies costs.</w:t>
      </w:r>
    </w:p>
    <w:p w:rsidR="005F6F65" w:rsidRDefault="005F6F65" w:rsidP="00D66108">
      <w:r>
        <w:t xml:space="preserve">Both the Township and the City were able to benefit from the relationship of the JEDD.  By finding the WIFMs for each, and both parties understanding these positions, they were able to negotiate what could have been a very contentious agreement with relatively little confrontation.  Paraphrasing a Chinese General, Sun Tzu, in his book </w:t>
      </w:r>
      <w:r w:rsidRPr="00A32213">
        <w:rPr>
          <w:u w:val="single"/>
        </w:rPr>
        <w:t>The Art of War</w:t>
      </w:r>
      <w:r>
        <w:t xml:space="preserve">, 2,500 years ago:  if you only know your own capabilities you will fail; if you only know your adversaries capabilities, you will also fail; you must know both your own and your adversaries capabilities to succeed.  </w:t>
      </w:r>
    </w:p>
    <w:p w:rsidR="005F6F65" w:rsidRPr="00A32213" w:rsidRDefault="005F6F65" w:rsidP="00D66108">
      <w:r>
        <w:t xml:space="preserve">In the end, the cultural apprehensions were bridged by having met one another and understanding each other’s needs.  Individuals of trust were brought to the table at various points and with various parties either in the negotiations or during public and non-public.  </w:t>
      </w:r>
    </w:p>
    <w:p w:rsidR="005F6F65" w:rsidRDefault="005F6F65" w:rsidP="00D66108">
      <w:pPr>
        <w:rPr>
          <w:b/>
          <w:bCs/>
        </w:rPr>
      </w:pPr>
    </w:p>
    <w:p w:rsidR="005F6F65" w:rsidRDefault="005F6F65" w:rsidP="00D66108">
      <w:pPr>
        <w:rPr>
          <w:b/>
          <w:bCs/>
        </w:rPr>
      </w:pPr>
      <w:r w:rsidRPr="00984A48">
        <w:rPr>
          <w:b/>
          <w:bCs/>
        </w:rPr>
        <w:t>PRESENTATION COMPONENTS</w:t>
      </w:r>
    </w:p>
    <w:p w:rsidR="005F6F65" w:rsidRDefault="005F6F65" w:rsidP="00D66108">
      <w:pPr>
        <w:pStyle w:val="ListParagraph"/>
        <w:numPr>
          <w:ilvl w:val="0"/>
          <w:numId w:val="1"/>
        </w:numPr>
      </w:pPr>
      <w:r>
        <w:t xml:space="preserve"> </w:t>
      </w:r>
      <w:r w:rsidRPr="00A205D5">
        <w:rPr>
          <w:b/>
          <w:bCs/>
        </w:rPr>
        <w:t>Innovation/Creativity</w:t>
      </w:r>
      <w:r>
        <w:t>:  Challenging cultural barriers through the development of a “Trust-Relationship” based upon a clear understanding of each party’s needs.</w:t>
      </w:r>
    </w:p>
    <w:p w:rsidR="005F6F65" w:rsidRDefault="005F6F65" w:rsidP="00741C0D">
      <w:pPr>
        <w:pStyle w:val="ListParagraph"/>
      </w:pPr>
    </w:p>
    <w:p w:rsidR="005F6F65" w:rsidRDefault="005F6F65" w:rsidP="00D66108">
      <w:pPr>
        <w:pStyle w:val="ListParagraph"/>
        <w:numPr>
          <w:ilvl w:val="0"/>
          <w:numId w:val="1"/>
        </w:numPr>
      </w:pPr>
      <w:r w:rsidRPr="00D66108">
        <w:rPr>
          <w:b/>
          <w:bCs/>
        </w:rPr>
        <w:t>Outcomes Achieved:</w:t>
      </w:r>
      <w:r>
        <w:rPr>
          <w:b/>
          <w:bCs/>
        </w:rPr>
        <w:t xml:space="preserve">  </w:t>
      </w:r>
      <w:r>
        <w:t>A highly successful agreement resulting in increased revenue and business development incentives.</w:t>
      </w:r>
    </w:p>
    <w:p w:rsidR="005F6F65" w:rsidRDefault="005F6F65" w:rsidP="00741C0D">
      <w:pPr>
        <w:pStyle w:val="ListParagraph"/>
      </w:pPr>
    </w:p>
    <w:p w:rsidR="005F6F65" w:rsidRPr="00D66108" w:rsidRDefault="005F6F65" w:rsidP="00D66108">
      <w:pPr>
        <w:pStyle w:val="ListParagraph"/>
        <w:numPr>
          <w:ilvl w:val="0"/>
          <w:numId w:val="1"/>
        </w:numPr>
      </w:pPr>
      <w:r>
        <w:t xml:space="preserve"> </w:t>
      </w:r>
      <w:r w:rsidRPr="00D66108">
        <w:rPr>
          <w:b/>
          <w:bCs/>
        </w:rPr>
        <w:t xml:space="preserve">Applicable Results:  </w:t>
      </w:r>
    </w:p>
    <w:p w:rsidR="005F6F65" w:rsidRDefault="005F6F65" w:rsidP="00D66108">
      <w:pPr>
        <w:pStyle w:val="ListParagraph"/>
      </w:pPr>
      <w:r>
        <w:t>Clearly define your objectives and needs and that of the other party.  Develop as much knowledge beforehand and refine that knowledge through respectful discussions and negotiations.</w:t>
      </w:r>
    </w:p>
    <w:p w:rsidR="005F6F65" w:rsidRPr="00A205D5" w:rsidRDefault="005F6F65" w:rsidP="00D66108">
      <w:pPr>
        <w:pStyle w:val="ListParagraph"/>
      </w:pPr>
    </w:p>
    <w:p w:rsidR="005F6F65" w:rsidRPr="00A205D5" w:rsidRDefault="005F6F65" w:rsidP="00D66108">
      <w:pPr>
        <w:pStyle w:val="ListParagraph"/>
        <w:numPr>
          <w:ilvl w:val="0"/>
          <w:numId w:val="1"/>
        </w:numPr>
        <w:rPr>
          <w:b/>
          <w:bCs/>
        </w:rPr>
      </w:pPr>
      <w:r>
        <w:rPr>
          <w:b/>
          <w:bCs/>
        </w:rPr>
        <w:t xml:space="preserve">Case Study Presentation:  </w:t>
      </w:r>
      <w:r w:rsidRPr="00474537">
        <w:t>PowerPoint</w:t>
      </w:r>
    </w:p>
    <w:p w:rsidR="005F6F65" w:rsidRDefault="005F6F65" w:rsidP="00D66108">
      <w:pPr>
        <w:rPr>
          <w:b/>
          <w:bCs/>
        </w:rPr>
      </w:pPr>
    </w:p>
    <w:p w:rsidR="005F6F65" w:rsidRDefault="005F6F65"/>
    <w:sectPr w:rsidR="005F6F65" w:rsidSect="005E4A53">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E373E"/>
    <w:multiLevelType w:val="hybridMultilevel"/>
    <w:tmpl w:val="D9368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rawingGridHorizontalSpacing w:val="11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6108"/>
    <w:rsid w:val="000E6309"/>
    <w:rsid w:val="001D5A35"/>
    <w:rsid w:val="00301FC6"/>
    <w:rsid w:val="003720C3"/>
    <w:rsid w:val="00392459"/>
    <w:rsid w:val="00393FC7"/>
    <w:rsid w:val="003D122F"/>
    <w:rsid w:val="00437A39"/>
    <w:rsid w:val="00474537"/>
    <w:rsid w:val="004E2037"/>
    <w:rsid w:val="005C6878"/>
    <w:rsid w:val="005E4A53"/>
    <w:rsid w:val="005F6F65"/>
    <w:rsid w:val="00741C0D"/>
    <w:rsid w:val="009518F3"/>
    <w:rsid w:val="00984A48"/>
    <w:rsid w:val="009C7829"/>
    <w:rsid w:val="00A205D5"/>
    <w:rsid w:val="00A32213"/>
    <w:rsid w:val="00AE1512"/>
    <w:rsid w:val="00B62613"/>
    <w:rsid w:val="00D66108"/>
    <w:rsid w:val="00EC072E"/>
    <w:rsid w:val="00F003D0"/>
    <w:rsid w:val="00F14DE7"/>
    <w:rsid w:val="00FA0D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108"/>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66108"/>
    <w:rPr>
      <w:color w:val="0000FF"/>
      <w:u w:val="single"/>
    </w:rPr>
  </w:style>
  <w:style w:type="paragraph" w:styleId="ListParagraph">
    <w:name w:val="List Paragraph"/>
    <w:basedOn w:val="Normal"/>
    <w:uiPriority w:val="99"/>
    <w:qFormat/>
    <w:rsid w:val="00D66108"/>
    <w:pPr>
      <w:ind w:left="720"/>
      <w:contextualSpacing/>
    </w:pPr>
  </w:style>
  <w:style w:type="paragraph" w:styleId="BalloonText">
    <w:name w:val="Balloon Text"/>
    <w:basedOn w:val="Normal"/>
    <w:link w:val="BalloonTextChar"/>
    <w:uiPriority w:val="99"/>
    <w:semiHidden/>
    <w:rsid w:val="005E4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A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nettis@sbcglobal.net" TargetMode="External"/><Relationship Id="rId5" Type="http://schemas.openxmlformats.org/officeDocument/2006/relationships/hyperlink" Target="mailto:jnettis@concordtw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1242</Words>
  <Characters>7083</Characters>
  <Application>Microsoft Office Outlook</Application>
  <DocSecurity>0</DocSecurity>
  <Lines>0</Lines>
  <Paragraphs>0</Paragraphs>
  <ScaleCrop>false</ScaleCrop>
  <Company>Concord Township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Overcoming Cultural Barriers Towards Regionalism</dc:title>
  <dc:subject>Understanding Your Partner</dc:subject>
  <dc:creator>Jack J. Nettis, Jr.</dc:creator>
  <cp:keywords/>
  <dc:description/>
  <cp:lastModifiedBy>Brandi Allen</cp:lastModifiedBy>
  <cp:revision>2</cp:revision>
  <dcterms:created xsi:type="dcterms:W3CDTF">2010-08-16T18:23:00Z</dcterms:created>
  <dcterms:modified xsi:type="dcterms:W3CDTF">2010-08-16T18:23:00Z</dcterms:modified>
</cp:coreProperties>
</file>